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bCs w:val="0"/>
          <w:sz w:val="32"/>
          <w:szCs w:val="24"/>
        </w:rPr>
      </w:sdtEndPr>
      <w:sdtContent>
        <w:p w14:paraId="00CA8EB2" w14:textId="77777777" w:rsidR="00E00BB5" w:rsidRPr="008C64DC" w:rsidRDefault="00E00BB5" w:rsidP="00E00BB5"/>
        <w:p w14:paraId="75D0FBD5" w14:textId="25B34821" w:rsidR="00E00BB5" w:rsidRPr="008C64DC" w:rsidRDefault="0022391F" w:rsidP="00E00BB5">
          <w:pPr>
            <w:pStyle w:val="Titlelevel1"/>
            <w:rPr>
              <w:lang w:val="en-GB"/>
            </w:rPr>
          </w:pPr>
          <w:proofErr w:type="spellStart"/>
          <w:r>
            <w:rPr>
              <w:lang w:val="en-GB"/>
            </w:rPr>
            <w:t>Creditreform</w:t>
          </w:r>
          <w:proofErr w:type="spellEnd"/>
          <w:r>
            <w:rPr>
              <w:lang w:val="en-GB"/>
            </w:rPr>
            <w:t xml:space="preserve"> Rating AG</w:t>
          </w:r>
          <w:r w:rsidR="004E160A" w:rsidRPr="004E160A">
            <w:rPr>
              <w:lang w:val="en-GB"/>
            </w:rPr>
            <w:t xml:space="preserve"> </w:t>
          </w:r>
        </w:p>
      </w:sdtContent>
    </w:sdt>
    <w:p w14:paraId="42FD1882" w14:textId="1DC3B2AA" w:rsidR="00783CCC" w:rsidRDefault="00783CCC" w:rsidP="00F00FD8">
      <w:pPr>
        <w:pStyle w:val="Numberedtitlelevel2"/>
        <w:numPr>
          <w:ilvl w:val="0"/>
          <w:numId w:val="0"/>
        </w:numPr>
        <w:ind w:left="360" w:hanging="360"/>
        <w:outlineLvl w:val="0"/>
      </w:pPr>
      <w:r>
        <w:t>C</w:t>
      </w:r>
      <w:r w:rsidR="004E160A" w:rsidRPr="004E160A">
        <w:t>redit ratings and rating scales</w:t>
      </w:r>
    </w:p>
    <w:p w14:paraId="02A1FADD" w14:textId="7F164E3A" w:rsidR="001A236F" w:rsidRPr="00AE6F37" w:rsidRDefault="00783CCC" w:rsidP="00671D4C">
      <w:pPr>
        <w:pStyle w:val="numberedparagraph"/>
        <w:tabs>
          <w:tab w:val="clear" w:pos="988"/>
          <w:tab w:val="num" w:pos="284"/>
        </w:tabs>
        <w:ind w:left="284"/>
      </w:pPr>
      <w:proofErr w:type="spellStart"/>
      <w:r w:rsidRPr="004B13CF">
        <w:t>Creditreform</w:t>
      </w:r>
      <w:proofErr w:type="spellEnd"/>
      <w:r w:rsidRPr="004B13CF">
        <w:t xml:space="preserve"> Ratings AG (</w:t>
      </w:r>
      <w:proofErr w:type="spellStart"/>
      <w:r w:rsidRPr="004B13CF">
        <w:t>Creditreform</w:t>
      </w:r>
      <w:proofErr w:type="spellEnd"/>
      <w:r w:rsidRPr="004B13CF">
        <w:t>)</w:t>
      </w:r>
      <w:r w:rsidR="001A236F" w:rsidRPr="00AE6F37">
        <w:t xml:space="preserve"> produces </w:t>
      </w:r>
      <w:r w:rsidR="006F2A13" w:rsidRPr="00AE6F37">
        <w:t xml:space="preserve">a variety of </w:t>
      </w:r>
      <w:r w:rsidR="003119B2" w:rsidRPr="00AE6F37">
        <w:t>type</w:t>
      </w:r>
      <w:r w:rsidR="008F108C" w:rsidRPr="00AE6F37">
        <w:t>s</w:t>
      </w:r>
      <w:r w:rsidR="003119B2" w:rsidRPr="00AE6F37">
        <w:t xml:space="preserve"> of credit ratings, which </w:t>
      </w:r>
      <w:r w:rsidR="001A236F" w:rsidRPr="00AE6F37">
        <w:t xml:space="preserve">may be used by institutions for the calculation of risk weights under the </w:t>
      </w:r>
      <w:proofErr w:type="spellStart"/>
      <w:r w:rsidR="001A236F" w:rsidRPr="00AE6F37">
        <w:t>Standardised</w:t>
      </w:r>
      <w:proofErr w:type="spellEnd"/>
      <w:r w:rsidR="001A236F" w:rsidRPr="00AE6F37">
        <w:t xml:space="preserve"> Approach (SA)</w:t>
      </w:r>
      <w:r w:rsidR="001A236F" w:rsidRPr="00AE6F37">
        <w:rPr>
          <w:rStyle w:val="FootnoteReference"/>
        </w:rPr>
        <w:footnoteReference w:id="2"/>
      </w:r>
      <w:r w:rsidR="00B24FB5" w:rsidRPr="00AE6F37">
        <w:t>, as shown in c</w:t>
      </w:r>
      <w:r w:rsidR="003119B2" w:rsidRPr="00AE6F37">
        <w:t xml:space="preserve">olumn 2 of </w:t>
      </w:r>
      <w:r w:rsidR="003119B2" w:rsidRPr="00AE6F37">
        <w:fldChar w:fldCharType="begin"/>
      </w:r>
      <w:r w:rsidR="003119B2" w:rsidRPr="00AE6F37">
        <w:instrText xml:space="preserve"> REF _Ref384801505 \h </w:instrText>
      </w:r>
      <w:r w:rsidR="00AE6F37" w:rsidRPr="00AE6F37">
        <w:instrText xml:space="preserve"> \* MERGEFORMAT </w:instrText>
      </w:r>
      <w:r w:rsidR="003119B2" w:rsidRPr="00AE6F37">
        <w:fldChar w:fldCharType="separate"/>
      </w:r>
      <w:r w:rsidR="005E03FA" w:rsidRPr="00AE6F37">
        <w:rPr>
          <w:szCs w:val="22"/>
        </w:rPr>
        <w:t xml:space="preserve">Figure </w:t>
      </w:r>
      <w:r w:rsidR="005E03FA" w:rsidRPr="00AE6F37">
        <w:rPr>
          <w:noProof/>
          <w:szCs w:val="22"/>
        </w:rPr>
        <w:t>2</w:t>
      </w:r>
      <w:r w:rsidR="003119B2" w:rsidRPr="00AE6F37">
        <w:fldChar w:fldCharType="end"/>
      </w:r>
      <w:r w:rsidR="005B4F4B" w:rsidRPr="00AE6F37">
        <w:t xml:space="preserve"> in Appendix 1:</w:t>
      </w:r>
    </w:p>
    <w:p w14:paraId="1B219647" w14:textId="1CA24395" w:rsidR="008F108C" w:rsidRPr="002F7608" w:rsidRDefault="008E5294" w:rsidP="006F292F">
      <w:pPr>
        <w:pStyle w:val="ListParagraph"/>
        <w:numPr>
          <w:ilvl w:val="0"/>
          <w:numId w:val="73"/>
        </w:numPr>
        <w:autoSpaceDE w:val="0"/>
        <w:autoSpaceDN w:val="0"/>
        <w:adjustRightInd w:val="0"/>
        <w:jc w:val="both"/>
        <w:rPr>
          <w:szCs w:val="22"/>
          <w:lang w:val="en-US"/>
        </w:rPr>
      </w:pPr>
      <w:r w:rsidRPr="00AE6F37">
        <w:rPr>
          <w:b/>
          <w:szCs w:val="22"/>
          <w:lang w:val="en-US"/>
        </w:rPr>
        <w:t>Long term bank issuer rating</w:t>
      </w:r>
      <w:r w:rsidR="008F108C" w:rsidRPr="00AE6F37">
        <w:rPr>
          <w:b/>
          <w:szCs w:val="22"/>
          <w:lang w:val="en-US"/>
        </w:rPr>
        <w:t xml:space="preserve">, </w:t>
      </w:r>
      <w:r w:rsidR="008F108C" w:rsidRPr="00AE6F37">
        <w:rPr>
          <w:szCs w:val="22"/>
          <w:lang w:val="en-US"/>
        </w:rPr>
        <w:t>defined as</w:t>
      </w:r>
      <w:r w:rsidR="00824CF0" w:rsidRPr="00AE6F37">
        <w:rPr>
          <w:szCs w:val="22"/>
          <w:lang w:val="en-US"/>
        </w:rPr>
        <w:t xml:space="preserve"> </w:t>
      </w:r>
      <w:r w:rsidRPr="00AE6F37">
        <w:rPr>
          <w:szCs w:val="22"/>
          <w:lang w:val="en-US"/>
        </w:rPr>
        <w:t xml:space="preserve">establishing the extent to which the bank under review will be able to meet the contractual obligations of its various financing instruments </w:t>
      </w:r>
      <w:r w:rsidRPr="002F7608">
        <w:rPr>
          <w:szCs w:val="22"/>
          <w:lang w:val="en-US"/>
        </w:rPr>
        <w:t>fully and on time.</w:t>
      </w:r>
    </w:p>
    <w:p w14:paraId="728ED8CA" w14:textId="50D0275E" w:rsidR="008E5294" w:rsidRPr="002F7608" w:rsidRDefault="008E5294" w:rsidP="006F292F">
      <w:pPr>
        <w:pStyle w:val="ListParagraph"/>
        <w:numPr>
          <w:ilvl w:val="0"/>
          <w:numId w:val="73"/>
        </w:numPr>
        <w:autoSpaceDE w:val="0"/>
        <w:autoSpaceDN w:val="0"/>
        <w:adjustRightInd w:val="0"/>
        <w:jc w:val="both"/>
        <w:rPr>
          <w:b/>
          <w:szCs w:val="22"/>
          <w:lang w:val="en-US"/>
        </w:rPr>
      </w:pPr>
      <w:r w:rsidRPr="00AE6F37">
        <w:rPr>
          <w:b/>
          <w:szCs w:val="22"/>
          <w:lang w:val="en-US"/>
        </w:rPr>
        <w:t>Bank issue rating,</w:t>
      </w:r>
      <w:r w:rsidRPr="002F7608">
        <w:rPr>
          <w:b/>
          <w:szCs w:val="22"/>
          <w:lang w:val="en-US"/>
        </w:rPr>
        <w:t xml:space="preserve"> </w:t>
      </w:r>
      <w:r w:rsidRPr="002F7608">
        <w:rPr>
          <w:szCs w:val="22"/>
          <w:lang w:val="en-US"/>
        </w:rPr>
        <w:t>defined as</w:t>
      </w:r>
      <w:r w:rsidR="00F21CCB" w:rsidRPr="002F7608">
        <w:rPr>
          <w:szCs w:val="22"/>
          <w:lang w:val="en-US"/>
        </w:rPr>
        <w:t xml:space="preserve"> </w:t>
      </w:r>
      <w:r w:rsidR="005423AE" w:rsidRPr="002F7608">
        <w:rPr>
          <w:szCs w:val="22"/>
          <w:lang w:val="en-US"/>
        </w:rPr>
        <w:t>having</w:t>
      </w:r>
      <w:r w:rsidR="00F21CCB" w:rsidRPr="002F7608">
        <w:rPr>
          <w:szCs w:val="22"/>
          <w:lang w:val="en-US"/>
        </w:rPr>
        <w:t xml:space="preserve"> a modular structure and </w:t>
      </w:r>
      <w:r w:rsidR="005423AE" w:rsidRPr="002F7608">
        <w:rPr>
          <w:szCs w:val="22"/>
          <w:lang w:val="en-US"/>
        </w:rPr>
        <w:t>being</w:t>
      </w:r>
      <w:r w:rsidR="00F21CCB" w:rsidRPr="002F7608">
        <w:rPr>
          <w:szCs w:val="22"/>
          <w:lang w:val="en-US"/>
        </w:rPr>
        <w:t xml:space="preserve"> based on the long-term issuer rating of the bank under review. Additional criteria – such as the bail-in cascade </w:t>
      </w:r>
      <w:r w:rsidR="00F21CCB" w:rsidRPr="002F7608">
        <w:rPr>
          <w:szCs w:val="22"/>
          <w:lang w:val="en-US"/>
        </w:rPr>
        <w:lastRenderedPageBreak/>
        <w:t xml:space="preserve">pursuant to the BRRD (Bank Recovery and Resolution Directive), the type and class of instrument and the structure of total liabilities – are also </w:t>
      </w:r>
      <w:r w:rsidR="005423AE" w:rsidRPr="002F7608">
        <w:rPr>
          <w:szCs w:val="22"/>
          <w:lang w:val="en-US"/>
        </w:rPr>
        <w:t xml:space="preserve">being </w:t>
      </w:r>
      <w:r w:rsidR="00F21CCB" w:rsidRPr="002F7608">
        <w:rPr>
          <w:szCs w:val="22"/>
          <w:lang w:val="en-US"/>
        </w:rPr>
        <w:t>taken into account, potentially leading to an upgrade or a downgrade of certain classes of instruments. Bank ratings may be accompanied by simultaneously conducted bank capital and unsecured debt instrument ratings, optionally also by ratings for specific issues.</w:t>
      </w:r>
    </w:p>
    <w:p w14:paraId="6D1FBAA9" w14:textId="72A1D9FB" w:rsidR="008E0126" w:rsidRDefault="008E0126" w:rsidP="00860DEF">
      <w:pPr>
        <w:pStyle w:val="bullet2"/>
      </w:pPr>
      <w:r>
        <w:rPr>
          <w:b/>
        </w:rPr>
        <w:t>Corporate</w:t>
      </w:r>
      <w:r w:rsidR="00860DEF">
        <w:rPr>
          <w:b/>
        </w:rPr>
        <w:t xml:space="preserve"> issuer</w:t>
      </w:r>
      <w:r>
        <w:rPr>
          <w:b/>
        </w:rPr>
        <w:t xml:space="preserve"> ratings, </w:t>
      </w:r>
      <w:r w:rsidRPr="00AA648D">
        <w:t>defined as</w:t>
      </w:r>
      <w:r w:rsidR="00860DEF" w:rsidRPr="00860DEF">
        <w:t xml:space="preserve"> assess</w:t>
      </w:r>
      <w:r w:rsidR="00860DEF">
        <w:t>ing</w:t>
      </w:r>
      <w:r w:rsidR="00860DEF" w:rsidRPr="00860DEF">
        <w:t xml:space="preserve"> the financial strength of the company or issuer under review in an integrated rating process. This enables potential investors and business partners to develop a reliable assessment of whether or not the company or issuer in question will be able to meet its financial obligations fully and on time</w:t>
      </w:r>
      <w:r w:rsidR="00E9540A">
        <w:t>.</w:t>
      </w:r>
      <w:r w:rsidR="00824CF0">
        <w:t xml:space="preserve"> </w:t>
      </w:r>
    </w:p>
    <w:p w14:paraId="7548DA34" w14:textId="77777777" w:rsidR="00860DEF" w:rsidRDefault="00860DEF" w:rsidP="00860DEF">
      <w:pPr>
        <w:pStyle w:val="bullet2"/>
      </w:pPr>
      <w:r>
        <w:rPr>
          <w:b/>
        </w:rPr>
        <w:t>Corporate issue ratings</w:t>
      </w:r>
      <w:r w:rsidRPr="006F292F">
        <w:t xml:space="preserve">, defined as </w:t>
      </w:r>
      <w:r>
        <w:t>providing</w:t>
      </w:r>
      <w:r w:rsidRPr="00860DEF">
        <w:t xml:space="preserve"> assessments of the credit quality of individual issues by non-financial companies, including – for example – promissory notes, loans, corporate bonds or any other form of borrowed funds.</w:t>
      </w:r>
      <w:r>
        <w:t xml:space="preserve"> </w:t>
      </w:r>
    </w:p>
    <w:p w14:paraId="06E803FD" w14:textId="3C01EF90" w:rsidR="00760A58" w:rsidRDefault="00860DEF" w:rsidP="00860DEF">
      <w:pPr>
        <w:pStyle w:val="bullet2"/>
      </w:pPr>
      <w:r>
        <w:rPr>
          <w:b/>
        </w:rPr>
        <w:t>SME issuer rating</w:t>
      </w:r>
      <w:r w:rsidR="00760A58">
        <w:rPr>
          <w:b/>
        </w:rPr>
        <w:t xml:space="preserve">, </w:t>
      </w:r>
      <w:r w:rsidR="00760A58" w:rsidRPr="00AA648D">
        <w:t>defined as</w:t>
      </w:r>
      <w:r>
        <w:t xml:space="preserve"> </w:t>
      </w:r>
      <w:r w:rsidRPr="00860DEF">
        <w:t>assess</w:t>
      </w:r>
      <w:r>
        <w:t>ing</w:t>
      </w:r>
      <w:r w:rsidRPr="00860DEF">
        <w:t xml:space="preserve"> the financial strength of the issuer under review in an integrated rating process. This enables potential investors and business partners to develop a reliable assessment of whether or not the company or issuer in question will be able to meet its financial obligations fully and on time.</w:t>
      </w:r>
    </w:p>
    <w:p w14:paraId="6F35B47F" w14:textId="77777777" w:rsidR="00CB06AC" w:rsidRDefault="00860DEF" w:rsidP="009A2FC7">
      <w:pPr>
        <w:pStyle w:val="bullet2"/>
      </w:pPr>
      <w:r>
        <w:rPr>
          <w:b/>
        </w:rPr>
        <w:t>SME issue rating</w:t>
      </w:r>
      <w:r w:rsidRPr="006F292F">
        <w:t>, defined as</w:t>
      </w:r>
      <w:r>
        <w:t xml:space="preserve"> providing</w:t>
      </w:r>
      <w:r w:rsidRPr="00860DEF">
        <w:t xml:space="preserve"> assessments of the credit quality of individual issues by non-financial companies, including – for example – promissory notes, loans, corporate bonds or any other form of borrowed funds.</w:t>
      </w:r>
      <w:r w:rsidR="00AE6F37">
        <w:t xml:space="preserve"> </w:t>
      </w:r>
    </w:p>
    <w:p w14:paraId="0EEB299E" w14:textId="349C675A" w:rsidR="008F108C" w:rsidRDefault="009A2FC7" w:rsidP="009A2FC7">
      <w:pPr>
        <w:pStyle w:val="bullet2"/>
      </w:pPr>
      <w:r w:rsidRPr="009A2FC7">
        <w:rPr>
          <w:b/>
        </w:rPr>
        <w:t>Bank covered bonds rating</w:t>
      </w:r>
      <w:r w:rsidR="008F108C">
        <w:rPr>
          <w:b/>
        </w:rPr>
        <w:t>,</w:t>
      </w:r>
      <w:r w:rsidR="008F108C">
        <w:t xml:space="preserve"> defined as</w:t>
      </w:r>
      <w:r w:rsidR="00122140">
        <w:t xml:space="preserve"> </w:t>
      </w:r>
      <w:r w:rsidRPr="009A2FC7">
        <w:t>primarily based on an analysis of the issuer, following which the legal framework and the structure of the issue will be examined.</w:t>
      </w:r>
    </w:p>
    <w:p w14:paraId="6EA84D84" w14:textId="072A81FF" w:rsidR="004548EA" w:rsidRDefault="004548EA" w:rsidP="0035113D">
      <w:pPr>
        <w:pStyle w:val="bullet2"/>
      </w:pPr>
      <w:r>
        <w:rPr>
          <w:b/>
        </w:rPr>
        <w:t xml:space="preserve">Sovereign </w:t>
      </w:r>
      <w:r w:rsidR="0035113D">
        <w:rPr>
          <w:b/>
        </w:rPr>
        <w:t>issuer</w:t>
      </w:r>
      <w:r w:rsidR="00760A58" w:rsidRPr="00CC24E0">
        <w:rPr>
          <w:b/>
        </w:rPr>
        <w:t xml:space="preserve"> </w:t>
      </w:r>
      <w:r>
        <w:rPr>
          <w:b/>
        </w:rPr>
        <w:t>ratings</w:t>
      </w:r>
      <w:r w:rsidR="00760A58">
        <w:rPr>
          <w:b/>
        </w:rPr>
        <w:t xml:space="preserve">, </w:t>
      </w:r>
      <w:r w:rsidR="00760A58" w:rsidRPr="00671D4C">
        <w:t xml:space="preserve">defined as </w:t>
      </w:r>
      <w:r w:rsidR="0035113D">
        <w:t>providing</w:t>
      </w:r>
      <w:r w:rsidR="0035113D" w:rsidRPr="0035113D">
        <w:t xml:space="preserve"> assessments of the creditworthiness of a sovereign in its capacity as a debtor with universally comparable standards across different levels of economic development.</w:t>
      </w:r>
    </w:p>
    <w:p w14:paraId="49B2A6DB" w14:textId="77777777" w:rsidR="0035113D" w:rsidRDefault="0035113D" w:rsidP="0035113D">
      <w:pPr>
        <w:pStyle w:val="bullet2"/>
      </w:pPr>
      <w:r>
        <w:rPr>
          <w:b/>
        </w:rPr>
        <w:t>Sovereign issue ratings</w:t>
      </w:r>
      <w:r w:rsidRPr="006F292F">
        <w:t xml:space="preserve">, </w:t>
      </w:r>
      <w:r>
        <w:t xml:space="preserve">defined as </w:t>
      </w:r>
      <w:r w:rsidRPr="0035113D">
        <w:t>ratings for specific debt instruments or bonds that have been issued by governments either in local or foreign currency.</w:t>
      </w:r>
    </w:p>
    <w:p w14:paraId="5E158DA8" w14:textId="7C006B80" w:rsidR="00760A58" w:rsidRPr="00787776" w:rsidRDefault="00FB7AAF" w:rsidP="00AE6F37">
      <w:pPr>
        <w:pStyle w:val="bullet2"/>
      </w:pPr>
      <w:r w:rsidRPr="00FB7AAF">
        <w:rPr>
          <w:b/>
        </w:rPr>
        <w:t>Institutional investor debt rating</w:t>
      </w:r>
      <w:r w:rsidR="00760A58">
        <w:rPr>
          <w:b/>
        </w:rPr>
        <w:t xml:space="preserve">, </w:t>
      </w:r>
      <w:r w:rsidR="00760A58" w:rsidRPr="00AA648D">
        <w:t xml:space="preserve">defined as </w:t>
      </w:r>
      <w:r w:rsidR="005423AE">
        <w:t xml:space="preserve">using </w:t>
      </w:r>
      <w:r w:rsidR="00427AA0" w:rsidRPr="00427AA0">
        <w:t>asset-based finance ratings to analyze directly</w:t>
      </w:r>
      <w:r w:rsidR="005423AE">
        <w:t>- or indirectly-</w:t>
      </w:r>
      <w:r w:rsidR="00427AA0" w:rsidRPr="00427AA0">
        <w:t xml:space="preserve">financed investments. </w:t>
      </w:r>
      <w:r w:rsidR="005423AE">
        <w:t>The</w:t>
      </w:r>
      <w:r w:rsidR="00427AA0" w:rsidRPr="00427AA0">
        <w:t xml:space="preserve"> product range includes ratings in different asset categories, for private equity and private debt investments as well as for investments in fields such as infrastructure, renewables, real estate, aviation and logistics.</w:t>
      </w:r>
    </w:p>
    <w:p w14:paraId="7BE84A35" w14:textId="242FE43F" w:rsidR="008F108C" w:rsidRDefault="00CD021B" w:rsidP="00783CCC">
      <w:pPr>
        <w:pStyle w:val="numberedparagraph"/>
        <w:tabs>
          <w:tab w:val="clear" w:pos="988"/>
          <w:tab w:val="num" w:pos="284"/>
        </w:tabs>
        <w:ind w:left="284"/>
        <w:jc w:val="left"/>
      </w:pPr>
      <w:proofErr w:type="spellStart"/>
      <w:r>
        <w:t>Creditreform</w:t>
      </w:r>
      <w:proofErr w:type="spellEnd"/>
      <w:r>
        <w:t xml:space="preserve"> </w:t>
      </w:r>
      <w:r w:rsidR="008F108C">
        <w:t xml:space="preserve">assigns these credit ratings to </w:t>
      </w:r>
      <w:r w:rsidR="00783CCC">
        <w:t>a</w:t>
      </w:r>
      <w:r w:rsidR="00DF3102">
        <w:t xml:space="preserve"> single </w:t>
      </w:r>
      <w:r w:rsidR="008F108C">
        <w:t xml:space="preserve">rating scale as illustrated in column 3 of </w:t>
      </w:r>
      <w:r w:rsidR="008F108C">
        <w:fldChar w:fldCharType="begin"/>
      </w:r>
      <w:r w:rsidR="008F108C">
        <w:instrText xml:space="preserve"> REF _Ref384801505 \h </w:instrText>
      </w:r>
      <w:r w:rsidR="00783CCC">
        <w:instrText xml:space="preserve"> \* MERGEFORMAT </w:instrText>
      </w:r>
      <w:r w:rsidR="008F108C">
        <w:fldChar w:fldCharType="separate"/>
      </w:r>
      <w:r w:rsidR="005E03FA" w:rsidRPr="0041788D">
        <w:rPr>
          <w:szCs w:val="22"/>
        </w:rPr>
        <w:t xml:space="preserve">Figure </w:t>
      </w:r>
      <w:r w:rsidR="005E03FA">
        <w:rPr>
          <w:noProof/>
          <w:szCs w:val="22"/>
        </w:rPr>
        <w:t>2</w:t>
      </w:r>
      <w:r w:rsidR="008F108C">
        <w:fldChar w:fldCharType="end"/>
      </w:r>
      <w:r w:rsidR="008F108C">
        <w:t xml:space="preserve"> in Appendix 1. </w:t>
      </w:r>
      <w:r w:rsidR="00DF3102" w:rsidRPr="0024143D">
        <w:t xml:space="preserve">The </w:t>
      </w:r>
      <w:r w:rsidR="00DF3102" w:rsidRPr="00623B9F">
        <w:t xml:space="preserve">specification of this rating scale is described in </w:t>
      </w:r>
      <w:r w:rsidR="00DF3102">
        <w:fldChar w:fldCharType="begin"/>
      </w:r>
      <w:r w:rsidR="00DF3102">
        <w:instrText xml:space="preserve"> REF _Ref384802193 \h </w:instrText>
      </w:r>
      <w:r w:rsidR="00783CCC">
        <w:instrText xml:space="preserve"> \* MERGEFORMAT </w:instrText>
      </w:r>
      <w:r w:rsidR="00DF3102">
        <w:fldChar w:fldCharType="separate"/>
      </w:r>
      <w:r w:rsidR="005E03FA" w:rsidRPr="0041788D">
        <w:rPr>
          <w:szCs w:val="22"/>
        </w:rPr>
        <w:t xml:space="preserve">Figure </w:t>
      </w:r>
      <w:r w:rsidR="005E03FA">
        <w:rPr>
          <w:noProof/>
          <w:szCs w:val="22"/>
        </w:rPr>
        <w:t>3</w:t>
      </w:r>
      <w:r w:rsidR="00DF3102">
        <w:fldChar w:fldCharType="end"/>
      </w:r>
      <w:r w:rsidR="00DF3102">
        <w:t xml:space="preserve"> </w:t>
      </w:r>
      <w:r w:rsidR="00DF3102" w:rsidRPr="00623B9F">
        <w:t>of A</w:t>
      </w:r>
      <w:r w:rsidR="00DF3102">
        <w:t>ppendix</w:t>
      </w:r>
      <w:r w:rsidR="00DF3102" w:rsidRPr="00623B9F">
        <w:t xml:space="preserve"> 1.</w:t>
      </w:r>
      <w:r w:rsidR="00DF3102">
        <w:t xml:space="preserve"> </w:t>
      </w:r>
    </w:p>
    <w:p w14:paraId="6B051FE6" w14:textId="77777777" w:rsidR="00783CCC" w:rsidRPr="00671D4C" w:rsidRDefault="00783CCC" w:rsidP="00783CCC">
      <w:pPr>
        <w:rPr>
          <w:b/>
        </w:rPr>
      </w:pPr>
    </w:p>
    <w:p w14:paraId="3EA5A674" w14:textId="77777777" w:rsidR="00783CCC" w:rsidRDefault="00783CCC" w:rsidP="00783CCC">
      <w:pPr>
        <w:rPr>
          <w:rFonts w:asciiTheme="majorHAnsi" w:eastAsiaTheme="majorEastAsia" w:hAnsiTheme="majorHAnsi" w:cstheme="majorBidi"/>
          <w:color w:val="2F5773" w:themeColor="text2"/>
          <w:sz w:val="32"/>
          <w:lang w:val="en-US"/>
        </w:rPr>
      </w:pPr>
    </w:p>
    <w:p w14:paraId="73EF7931" w14:textId="77777777" w:rsidR="00783CCC" w:rsidRDefault="00783CCC" w:rsidP="00783CCC">
      <w:pPr>
        <w:rPr>
          <w:rFonts w:asciiTheme="majorHAnsi" w:eastAsiaTheme="majorEastAsia" w:hAnsiTheme="majorHAnsi" w:cstheme="majorBidi"/>
          <w:color w:val="2F5773" w:themeColor="text2"/>
          <w:sz w:val="32"/>
          <w:lang w:val="en-US"/>
        </w:rPr>
      </w:pPr>
    </w:p>
    <w:p w14:paraId="450950D3" w14:textId="77777777" w:rsidR="00783CCC" w:rsidRPr="00783CCC" w:rsidRDefault="00783CCC" w:rsidP="00783CCC">
      <w:pPr>
        <w:pStyle w:val="body"/>
      </w:pPr>
      <w:r>
        <w:br w:type="page"/>
      </w:r>
    </w:p>
    <w:p w14:paraId="32482324" w14:textId="77777777" w:rsidR="00783CCC" w:rsidRPr="00D83AAF" w:rsidRDefault="00783CCC" w:rsidP="00671D4C">
      <w:pPr>
        <w:pStyle w:val="numberedparagraph"/>
        <w:numPr>
          <w:ilvl w:val="0"/>
          <w:numId w:val="0"/>
        </w:numPr>
        <w:rPr>
          <w:highlight w:val="yellow"/>
        </w:rPr>
        <w:sectPr w:rsidR="00783CCC" w:rsidRPr="00D83AAF" w:rsidSect="0011627A">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bookmarkStart w:id="0" w:name="_GoBack"/>
      <w:bookmarkEnd w:id="0"/>
    </w:p>
    <w:p w14:paraId="411865F1" w14:textId="77777777" w:rsidR="00F434D1" w:rsidRPr="00BE6527" w:rsidRDefault="00F434D1" w:rsidP="00D83AAF">
      <w:pPr>
        <w:pStyle w:val="Titlelevel2"/>
        <w:outlineLvl w:val="0"/>
      </w:pPr>
      <w:r w:rsidRPr="00BE6527">
        <w:t xml:space="preserve">Appendix 1: </w:t>
      </w:r>
      <w:r w:rsidRPr="00BE6527">
        <w:tab/>
        <w:t>Credit ratings and rating scales</w:t>
      </w:r>
    </w:p>
    <w:p w14:paraId="600BA398" w14:textId="043D4118" w:rsidR="00892B01" w:rsidRDefault="0041788D" w:rsidP="00C45D4A">
      <w:pPr>
        <w:pStyle w:val="Figuretitle"/>
      </w:pPr>
      <w:bookmarkStart w:id="1" w:name="_Ref384801505"/>
      <w:bookmarkStart w:id="2" w:name="_Toc239218820"/>
      <w:bookmarkStart w:id="3"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5E03FA">
        <w:rPr>
          <w:szCs w:val="22"/>
        </w:rPr>
        <w:t>2</w:t>
      </w:r>
      <w:r w:rsidRPr="0041788D">
        <w:rPr>
          <w:szCs w:val="22"/>
        </w:rPr>
        <w:fldChar w:fldCharType="end"/>
      </w:r>
      <w:bookmarkEnd w:id="1"/>
      <w:r w:rsidRPr="0041788D">
        <w:rPr>
          <w:szCs w:val="22"/>
        </w:rPr>
        <w:t xml:space="preserve">: </w:t>
      </w:r>
      <w:bookmarkEnd w:id="2"/>
      <w:bookmarkEnd w:id="3"/>
      <w:r w:rsidR="009B7D6B">
        <w:t>C</w:t>
      </w:r>
      <w:r w:rsidR="0022391F">
        <w:t>reditreform</w:t>
      </w:r>
      <w:r w:rsidR="00892B01" w:rsidRPr="00892B01">
        <w:t>’s relevant credit ratings and rating scales</w:t>
      </w:r>
    </w:p>
    <w:tbl>
      <w:tblPr>
        <w:tblStyle w:val="EBAtable"/>
        <w:tblW w:w="12866" w:type="dxa"/>
        <w:tblLayout w:type="fixed"/>
        <w:tblLook w:val="04A0" w:firstRow="1" w:lastRow="0" w:firstColumn="1" w:lastColumn="0" w:noHBand="0" w:noVBand="1"/>
      </w:tblPr>
      <w:tblGrid>
        <w:gridCol w:w="4023"/>
        <w:gridCol w:w="6150"/>
        <w:gridCol w:w="2693"/>
      </w:tblGrid>
      <w:tr w:rsidR="00892B01" w:rsidRPr="00612352" w14:paraId="30E32CB9" w14:textId="77777777" w:rsidTr="006F292F">
        <w:trPr>
          <w:cnfStyle w:val="100000000000" w:firstRow="1" w:lastRow="0" w:firstColumn="0" w:lastColumn="0" w:oddVBand="0" w:evenVBand="0" w:oddHBand="0" w:evenHBand="0" w:firstRowFirstColumn="0" w:firstRowLastColumn="0" w:lastRowFirstColumn="0" w:lastRowLastColumn="0"/>
        </w:trPr>
        <w:tc>
          <w:tcPr>
            <w:tcW w:w="4023" w:type="dxa"/>
          </w:tcPr>
          <w:p w14:paraId="398FDE47" w14:textId="77777777" w:rsidR="00892B01" w:rsidRPr="00612352" w:rsidRDefault="00892B01" w:rsidP="007036AB">
            <w:pPr>
              <w:pStyle w:val="Tableheader"/>
              <w:spacing w:before="120"/>
              <w:rPr>
                <w:lang w:val="en-GB"/>
              </w:rPr>
            </w:pPr>
            <w:r w:rsidRPr="00892B01">
              <w:t>SA exposure classes</w:t>
            </w:r>
          </w:p>
        </w:tc>
        <w:tc>
          <w:tcPr>
            <w:tcW w:w="6150" w:type="dxa"/>
          </w:tcPr>
          <w:p w14:paraId="5F4F1E63" w14:textId="77777777" w:rsidR="00892B01" w:rsidRPr="00612352" w:rsidRDefault="00892B01" w:rsidP="007036AB">
            <w:pPr>
              <w:pStyle w:val="Tableheader"/>
              <w:spacing w:before="120"/>
              <w:rPr>
                <w:lang w:val="en-GB"/>
              </w:rPr>
            </w:pPr>
            <w:r w:rsidRPr="00892B01">
              <w:rPr>
                <w:lang w:val="en-GB"/>
              </w:rPr>
              <w:t>Name of credit rating</w:t>
            </w:r>
          </w:p>
        </w:tc>
        <w:tc>
          <w:tcPr>
            <w:tcW w:w="2693" w:type="dxa"/>
          </w:tcPr>
          <w:p w14:paraId="794D9893" w14:textId="77777777" w:rsidR="00892B01" w:rsidRPr="00612352" w:rsidRDefault="00892B01" w:rsidP="007036AB">
            <w:pPr>
              <w:pStyle w:val="Tableheader"/>
              <w:spacing w:before="120"/>
              <w:rPr>
                <w:lang w:val="en-GB"/>
              </w:rPr>
            </w:pPr>
            <w:r w:rsidRPr="00892B01">
              <w:t>Credit rating scale</w:t>
            </w:r>
          </w:p>
        </w:tc>
      </w:tr>
      <w:tr w:rsidR="00892B01" w:rsidRPr="00612352" w14:paraId="3E4AE888" w14:textId="77777777" w:rsidTr="006F292F">
        <w:tc>
          <w:tcPr>
            <w:tcW w:w="4023" w:type="dxa"/>
            <w:tcBorders>
              <w:top w:val="single" w:sz="18" w:space="0" w:color="E98E31" w:themeColor="background2"/>
              <w:bottom w:val="single" w:sz="4" w:space="0" w:color="auto"/>
            </w:tcBorders>
            <w:vAlign w:val="top"/>
          </w:tcPr>
          <w:p w14:paraId="16378FA6" w14:textId="77777777" w:rsidR="00892B01" w:rsidRPr="00892B01" w:rsidRDefault="00892B01" w:rsidP="00245FF8">
            <w:pPr>
              <w:spacing w:before="120" w:after="120"/>
              <w:rPr>
                <w:b/>
              </w:rPr>
            </w:pPr>
            <w:r w:rsidRPr="00892B01">
              <w:rPr>
                <w:b/>
              </w:rPr>
              <w:t>Long-term ratings</w:t>
            </w:r>
          </w:p>
        </w:tc>
        <w:tc>
          <w:tcPr>
            <w:tcW w:w="6150" w:type="dxa"/>
            <w:tcBorders>
              <w:bottom w:val="single" w:sz="2" w:space="0" w:color="000000" w:themeColor="text1"/>
            </w:tcBorders>
            <w:vAlign w:val="top"/>
          </w:tcPr>
          <w:p w14:paraId="6C8E8FFF" w14:textId="77777777" w:rsidR="00892B01" w:rsidRPr="0002510A" w:rsidRDefault="00892B01" w:rsidP="00245FF8">
            <w:pPr>
              <w:spacing w:before="120" w:after="120"/>
            </w:pPr>
          </w:p>
        </w:tc>
        <w:tc>
          <w:tcPr>
            <w:tcW w:w="2693" w:type="dxa"/>
            <w:tcBorders>
              <w:bottom w:val="single" w:sz="2" w:space="0" w:color="000000" w:themeColor="text1"/>
            </w:tcBorders>
            <w:vAlign w:val="top"/>
          </w:tcPr>
          <w:p w14:paraId="3437086C" w14:textId="77777777" w:rsidR="00892B01" w:rsidRDefault="00892B01" w:rsidP="00245FF8">
            <w:pPr>
              <w:spacing w:before="120" w:after="120"/>
            </w:pPr>
          </w:p>
        </w:tc>
      </w:tr>
      <w:tr w:rsidR="008F4C09" w:rsidRPr="00612352" w14:paraId="22C1DC25" w14:textId="77777777" w:rsidTr="006F292F">
        <w:tc>
          <w:tcPr>
            <w:tcW w:w="4023" w:type="dxa"/>
            <w:tcBorders>
              <w:top w:val="single" w:sz="4" w:space="0" w:color="auto"/>
              <w:bottom w:val="nil"/>
            </w:tcBorders>
            <w:vAlign w:val="top"/>
          </w:tcPr>
          <w:p w14:paraId="5AC78651" w14:textId="77777777" w:rsidR="008F4C09" w:rsidRPr="00671D4C" w:rsidRDefault="009768F7" w:rsidP="00245FF8">
            <w:pPr>
              <w:spacing w:before="120" w:after="120"/>
            </w:pPr>
            <w:r w:rsidRPr="00671D4C">
              <w:t>Central governments or central banks</w:t>
            </w:r>
          </w:p>
        </w:tc>
        <w:tc>
          <w:tcPr>
            <w:tcW w:w="6150" w:type="dxa"/>
            <w:tcBorders>
              <w:bottom w:val="nil"/>
            </w:tcBorders>
            <w:vAlign w:val="top"/>
          </w:tcPr>
          <w:p w14:paraId="3378B442" w14:textId="30E5E340" w:rsidR="008F4C09" w:rsidRPr="0002510A" w:rsidRDefault="008F4C09" w:rsidP="00427AA0">
            <w:pPr>
              <w:spacing w:before="120" w:after="120"/>
            </w:pPr>
            <w:r>
              <w:t>S</w:t>
            </w:r>
            <w:r w:rsidRPr="001032D9">
              <w:t>overeign</w:t>
            </w:r>
            <w:r w:rsidR="007507C3">
              <w:t xml:space="preserve"> </w:t>
            </w:r>
            <w:r w:rsidR="00427AA0">
              <w:t>issuer</w:t>
            </w:r>
            <w:r w:rsidR="007507C3">
              <w:t xml:space="preserve"> rating</w:t>
            </w:r>
          </w:p>
        </w:tc>
        <w:tc>
          <w:tcPr>
            <w:tcW w:w="2693" w:type="dxa"/>
            <w:tcBorders>
              <w:bottom w:val="nil"/>
            </w:tcBorders>
            <w:vAlign w:val="top"/>
          </w:tcPr>
          <w:p w14:paraId="38A811DB" w14:textId="77777777" w:rsidR="008F4C09" w:rsidRDefault="008F4C09" w:rsidP="00245FF8">
            <w:pPr>
              <w:spacing w:before="120" w:after="120"/>
            </w:pPr>
            <w:r>
              <w:rPr>
                <w:bCs/>
              </w:rPr>
              <w:t>Long-term rating scale</w:t>
            </w:r>
          </w:p>
        </w:tc>
      </w:tr>
      <w:tr w:rsidR="00427AA0" w:rsidRPr="00612352" w14:paraId="60A18002" w14:textId="77777777" w:rsidTr="006F292F">
        <w:tc>
          <w:tcPr>
            <w:tcW w:w="4023" w:type="dxa"/>
            <w:tcBorders>
              <w:top w:val="nil"/>
              <w:bottom w:val="single" w:sz="4" w:space="0" w:color="auto"/>
            </w:tcBorders>
            <w:vAlign w:val="top"/>
          </w:tcPr>
          <w:p w14:paraId="5C9888F5" w14:textId="77777777" w:rsidR="00427AA0" w:rsidRPr="00671D4C" w:rsidRDefault="00427AA0" w:rsidP="00245FF8">
            <w:pPr>
              <w:spacing w:before="120" w:after="120"/>
            </w:pPr>
          </w:p>
        </w:tc>
        <w:tc>
          <w:tcPr>
            <w:tcW w:w="6150" w:type="dxa"/>
            <w:tcBorders>
              <w:top w:val="nil"/>
              <w:bottom w:val="single" w:sz="4" w:space="0" w:color="auto"/>
            </w:tcBorders>
            <w:vAlign w:val="top"/>
          </w:tcPr>
          <w:p w14:paraId="62CB0AF9" w14:textId="26910FCD" w:rsidR="00427AA0" w:rsidRDefault="00427AA0" w:rsidP="00427AA0">
            <w:pPr>
              <w:spacing w:before="120" w:after="120"/>
            </w:pPr>
            <w:r>
              <w:t>Sovereign issue rating</w:t>
            </w:r>
          </w:p>
        </w:tc>
        <w:tc>
          <w:tcPr>
            <w:tcW w:w="2693" w:type="dxa"/>
            <w:tcBorders>
              <w:top w:val="nil"/>
              <w:bottom w:val="single" w:sz="4" w:space="0" w:color="auto"/>
            </w:tcBorders>
            <w:vAlign w:val="top"/>
          </w:tcPr>
          <w:p w14:paraId="2270E8D9" w14:textId="0770EEA0" w:rsidR="00427AA0" w:rsidRDefault="00427AA0" w:rsidP="00245FF8">
            <w:pPr>
              <w:spacing w:before="120" w:after="120"/>
              <w:rPr>
                <w:bCs/>
              </w:rPr>
            </w:pPr>
            <w:r>
              <w:rPr>
                <w:bCs/>
              </w:rPr>
              <w:t>Long-term rating scale</w:t>
            </w:r>
          </w:p>
        </w:tc>
      </w:tr>
      <w:tr w:rsidR="007507C3" w:rsidRPr="00612352" w14:paraId="19D12B6D" w14:textId="77777777" w:rsidTr="006F292F">
        <w:tc>
          <w:tcPr>
            <w:tcW w:w="4023" w:type="dxa"/>
            <w:tcBorders>
              <w:top w:val="single" w:sz="4" w:space="0" w:color="auto"/>
              <w:bottom w:val="nil"/>
            </w:tcBorders>
            <w:vAlign w:val="top"/>
          </w:tcPr>
          <w:p w14:paraId="02274C44" w14:textId="77777777" w:rsidR="007507C3" w:rsidRPr="00671D4C" w:rsidRDefault="00DD36F6" w:rsidP="00245FF8">
            <w:pPr>
              <w:spacing w:before="120" w:after="120"/>
            </w:pPr>
            <w:r>
              <w:t>Public sector entities</w:t>
            </w:r>
          </w:p>
        </w:tc>
        <w:tc>
          <w:tcPr>
            <w:tcW w:w="6150" w:type="dxa"/>
            <w:tcBorders>
              <w:top w:val="single" w:sz="4" w:space="0" w:color="auto"/>
              <w:bottom w:val="nil"/>
            </w:tcBorders>
            <w:vAlign w:val="top"/>
          </w:tcPr>
          <w:p w14:paraId="38A5717E" w14:textId="7E4BD56E" w:rsidR="007507C3" w:rsidRDefault="00B470C6" w:rsidP="00245FF8">
            <w:pPr>
              <w:spacing w:before="120" w:after="120"/>
            </w:pPr>
            <w:r>
              <w:t>Corporate issuer rating</w:t>
            </w:r>
          </w:p>
        </w:tc>
        <w:tc>
          <w:tcPr>
            <w:tcW w:w="2693" w:type="dxa"/>
            <w:tcBorders>
              <w:top w:val="single" w:sz="4" w:space="0" w:color="auto"/>
              <w:bottom w:val="nil"/>
            </w:tcBorders>
            <w:vAlign w:val="top"/>
          </w:tcPr>
          <w:p w14:paraId="3DFFCFBC" w14:textId="77777777" w:rsidR="007507C3" w:rsidRDefault="00F832FE" w:rsidP="00245FF8">
            <w:pPr>
              <w:spacing w:before="120" w:after="120"/>
              <w:rPr>
                <w:bCs/>
              </w:rPr>
            </w:pPr>
            <w:r>
              <w:rPr>
                <w:bCs/>
              </w:rPr>
              <w:t>Long-term rating scale</w:t>
            </w:r>
          </w:p>
        </w:tc>
      </w:tr>
      <w:tr w:rsidR="00B470C6" w:rsidRPr="00612352" w14:paraId="486EB9C8" w14:textId="77777777" w:rsidTr="006F292F">
        <w:tc>
          <w:tcPr>
            <w:tcW w:w="4023" w:type="dxa"/>
            <w:tcBorders>
              <w:top w:val="nil"/>
              <w:bottom w:val="single" w:sz="4" w:space="0" w:color="auto"/>
            </w:tcBorders>
            <w:vAlign w:val="top"/>
          </w:tcPr>
          <w:p w14:paraId="5EE26B96" w14:textId="77777777" w:rsidR="00B470C6" w:rsidRDefault="00B470C6" w:rsidP="00245FF8">
            <w:pPr>
              <w:spacing w:before="120" w:after="120"/>
            </w:pPr>
          </w:p>
        </w:tc>
        <w:tc>
          <w:tcPr>
            <w:tcW w:w="6150" w:type="dxa"/>
            <w:tcBorders>
              <w:top w:val="nil"/>
              <w:bottom w:val="single" w:sz="4" w:space="0" w:color="auto"/>
            </w:tcBorders>
            <w:vAlign w:val="top"/>
          </w:tcPr>
          <w:p w14:paraId="2F464D42" w14:textId="3D8A0332" w:rsidR="00B470C6" w:rsidRDefault="00B470C6" w:rsidP="009768F7">
            <w:pPr>
              <w:spacing w:before="120" w:after="120"/>
            </w:pPr>
            <w:r>
              <w:t>Corporate issue rating</w:t>
            </w:r>
          </w:p>
        </w:tc>
        <w:tc>
          <w:tcPr>
            <w:tcW w:w="2693" w:type="dxa"/>
            <w:tcBorders>
              <w:top w:val="nil"/>
              <w:bottom w:val="single" w:sz="4" w:space="0" w:color="auto"/>
            </w:tcBorders>
            <w:vAlign w:val="top"/>
          </w:tcPr>
          <w:p w14:paraId="370EA8CE" w14:textId="73CBB608" w:rsidR="00B470C6" w:rsidRDefault="00B470C6" w:rsidP="001512D3">
            <w:pPr>
              <w:spacing w:before="120" w:after="120"/>
              <w:rPr>
                <w:bCs/>
              </w:rPr>
            </w:pPr>
            <w:r>
              <w:rPr>
                <w:bCs/>
              </w:rPr>
              <w:t>Long-term rating scale</w:t>
            </w:r>
          </w:p>
        </w:tc>
      </w:tr>
      <w:tr w:rsidR="00F832FE" w:rsidRPr="00612352" w14:paraId="230714BF" w14:textId="77777777" w:rsidTr="006F292F">
        <w:tc>
          <w:tcPr>
            <w:tcW w:w="4023" w:type="dxa"/>
            <w:tcBorders>
              <w:top w:val="single" w:sz="4" w:space="0" w:color="auto"/>
              <w:bottom w:val="nil"/>
            </w:tcBorders>
            <w:vAlign w:val="top"/>
          </w:tcPr>
          <w:p w14:paraId="087BBD0F" w14:textId="77777777" w:rsidR="00F832FE" w:rsidRPr="001B32F8" w:rsidRDefault="00F832FE" w:rsidP="00245FF8">
            <w:pPr>
              <w:spacing w:before="120" w:after="120"/>
            </w:pPr>
            <w:r>
              <w:t>Institutions</w:t>
            </w:r>
          </w:p>
        </w:tc>
        <w:tc>
          <w:tcPr>
            <w:tcW w:w="6150" w:type="dxa"/>
            <w:tcBorders>
              <w:top w:val="single" w:sz="4" w:space="0" w:color="auto"/>
              <w:bottom w:val="nil"/>
            </w:tcBorders>
            <w:vAlign w:val="top"/>
          </w:tcPr>
          <w:p w14:paraId="0E108E5E" w14:textId="6372C33B" w:rsidR="00F832FE" w:rsidRDefault="00DC5D04" w:rsidP="00DC5D04">
            <w:pPr>
              <w:spacing w:before="120" w:after="120"/>
            </w:pPr>
            <w:r>
              <w:t>L</w:t>
            </w:r>
            <w:r w:rsidR="00F832FE">
              <w:t xml:space="preserve">ong-term </w:t>
            </w:r>
            <w:r>
              <w:t xml:space="preserve">bank issuer </w:t>
            </w:r>
            <w:r w:rsidR="00F832FE">
              <w:t>rating</w:t>
            </w:r>
          </w:p>
        </w:tc>
        <w:tc>
          <w:tcPr>
            <w:tcW w:w="2693" w:type="dxa"/>
            <w:tcBorders>
              <w:top w:val="single" w:sz="4" w:space="0" w:color="auto"/>
              <w:bottom w:val="nil"/>
            </w:tcBorders>
            <w:vAlign w:val="top"/>
          </w:tcPr>
          <w:p w14:paraId="2C325C2E" w14:textId="77777777" w:rsidR="00F832FE" w:rsidRDefault="00F832FE" w:rsidP="001512D3">
            <w:pPr>
              <w:spacing w:before="120" w:after="120"/>
              <w:rPr>
                <w:bCs/>
              </w:rPr>
            </w:pPr>
            <w:r>
              <w:rPr>
                <w:bCs/>
              </w:rPr>
              <w:t>Long-term rating scale</w:t>
            </w:r>
          </w:p>
        </w:tc>
      </w:tr>
      <w:tr w:rsidR="00F832FE" w:rsidRPr="00612352" w14:paraId="6297F66E" w14:textId="77777777" w:rsidTr="00671D4C">
        <w:tc>
          <w:tcPr>
            <w:tcW w:w="4023" w:type="dxa"/>
            <w:tcBorders>
              <w:top w:val="nil"/>
              <w:bottom w:val="nil"/>
            </w:tcBorders>
            <w:vAlign w:val="top"/>
          </w:tcPr>
          <w:p w14:paraId="61B3BA87" w14:textId="77777777" w:rsidR="00F832FE" w:rsidRDefault="00F832FE" w:rsidP="00245FF8">
            <w:pPr>
              <w:spacing w:before="120" w:after="120"/>
            </w:pPr>
          </w:p>
        </w:tc>
        <w:tc>
          <w:tcPr>
            <w:tcW w:w="6150" w:type="dxa"/>
            <w:tcBorders>
              <w:top w:val="nil"/>
              <w:bottom w:val="nil"/>
            </w:tcBorders>
            <w:vAlign w:val="top"/>
          </w:tcPr>
          <w:p w14:paraId="4707B066" w14:textId="3689F2CC" w:rsidR="00F832FE" w:rsidRDefault="00DC5D04" w:rsidP="009768F7">
            <w:pPr>
              <w:spacing w:before="120" w:after="120"/>
            </w:pPr>
            <w:r>
              <w:t>Bank issue rating</w:t>
            </w:r>
          </w:p>
        </w:tc>
        <w:tc>
          <w:tcPr>
            <w:tcW w:w="2693" w:type="dxa"/>
            <w:tcBorders>
              <w:top w:val="nil"/>
              <w:bottom w:val="nil"/>
            </w:tcBorders>
            <w:vAlign w:val="top"/>
          </w:tcPr>
          <w:p w14:paraId="0D070D5A" w14:textId="77777777" w:rsidR="00F832FE" w:rsidRDefault="00F832FE" w:rsidP="001512D3">
            <w:pPr>
              <w:spacing w:before="120" w:after="120"/>
              <w:rPr>
                <w:bCs/>
              </w:rPr>
            </w:pPr>
            <w:r>
              <w:rPr>
                <w:bCs/>
              </w:rPr>
              <w:t>Long-term rating scale</w:t>
            </w:r>
          </w:p>
        </w:tc>
      </w:tr>
      <w:tr w:rsidR="00F832FE" w:rsidRPr="00612352" w14:paraId="2DE507C0" w14:textId="77777777" w:rsidTr="006F292F">
        <w:tc>
          <w:tcPr>
            <w:tcW w:w="4023" w:type="dxa"/>
            <w:tcBorders>
              <w:top w:val="single" w:sz="2" w:space="0" w:color="000000" w:themeColor="text1"/>
              <w:bottom w:val="nil"/>
            </w:tcBorders>
            <w:vAlign w:val="top"/>
          </w:tcPr>
          <w:p w14:paraId="7AD5D7C3" w14:textId="77777777" w:rsidR="00F832FE" w:rsidRPr="001B32F8" w:rsidRDefault="00F832FE" w:rsidP="00E30F40">
            <w:pPr>
              <w:spacing w:before="120" w:after="120"/>
            </w:pPr>
            <w:r w:rsidRPr="001B32F8">
              <w:t>Corporates</w:t>
            </w:r>
          </w:p>
        </w:tc>
        <w:tc>
          <w:tcPr>
            <w:tcW w:w="6150" w:type="dxa"/>
            <w:tcBorders>
              <w:top w:val="single" w:sz="2" w:space="0" w:color="000000" w:themeColor="text1"/>
              <w:bottom w:val="nil"/>
            </w:tcBorders>
            <w:vAlign w:val="top"/>
          </w:tcPr>
          <w:p w14:paraId="78C35311" w14:textId="6534538C" w:rsidR="00F832FE" w:rsidRPr="001B32F8" w:rsidRDefault="00C12D50" w:rsidP="00DC5D04">
            <w:pPr>
              <w:spacing w:before="120" w:after="120"/>
            </w:pPr>
            <w:r>
              <w:t xml:space="preserve">Corporate </w:t>
            </w:r>
            <w:r w:rsidR="00DC5D04">
              <w:t>issuer</w:t>
            </w:r>
            <w:r>
              <w:t xml:space="preserve"> rating</w:t>
            </w:r>
          </w:p>
        </w:tc>
        <w:tc>
          <w:tcPr>
            <w:tcW w:w="2693" w:type="dxa"/>
            <w:tcBorders>
              <w:top w:val="single" w:sz="2" w:space="0" w:color="000000" w:themeColor="text1"/>
              <w:bottom w:val="nil"/>
            </w:tcBorders>
            <w:vAlign w:val="top"/>
          </w:tcPr>
          <w:p w14:paraId="78569D7F" w14:textId="77777777" w:rsidR="00F832FE" w:rsidRPr="001B32F8" w:rsidRDefault="00C12D50" w:rsidP="00E30F40">
            <w:pPr>
              <w:spacing w:before="120" w:after="120"/>
            </w:pPr>
            <w:r>
              <w:rPr>
                <w:bCs/>
              </w:rPr>
              <w:t>Long-term rating scale</w:t>
            </w:r>
          </w:p>
        </w:tc>
      </w:tr>
      <w:tr w:rsidR="00DC5D04" w:rsidRPr="00612352" w14:paraId="05C35492" w14:textId="77777777" w:rsidTr="006F292F">
        <w:tc>
          <w:tcPr>
            <w:tcW w:w="4023" w:type="dxa"/>
            <w:tcBorders>
              <w:top w:val="nil"/>
              <w:bottom w:val="nil"/>
            </w:tcBorders>
            <w:vAlign w:val="top"/>
          </w:tcPr>
          <w:p w14:paraId="6E5D1382" w14:textId="77777777" w:rsidR="00DC5D04" w:rsidRPr="001B32F8" w:rsidRDefault="00DC5D04" w:rsidP="00E30F40">
            <w:pPr>
              <w:spacing w:before="120" w:after="120"/>
            </w:pPr>
          </w:p>
        </w:tc>
        <w:tc>
          <w:tcPr>
            <w:tcW w:w="6150" w:type="dxa"/>
            <w:tcBorders>
              <w:top w:val="nil"/>
              <w:bottom w:val="nil"/>
            </w:tcBorders>
            <w:vAlign w:val="top"/>
          </w:tcPr>
          <w:p w14:paraId="03C25D6A" w14:textId="35551E1A" w:rsidR="00DC5D04" w:rsidRDefault="00DC5D04" w:rsidP="00DC5D04">
            <w:pPr>
              <w:spacing w:before="120" w:after="120"/>
            </w:pPr>
            <w:r>
              <w:t>Corporate issue rating</w:t>
            </w:r>
          </w:p>
        </w:tc>
        <w:tc>
          <w:tcPr>
            <w:tcW w:w="2693" w:type="dxa"/>
            <w:tcBorders>
              <w:top w:val="nil"/>
              <w:bottom w:val="nil"/>
            </w:tcBorders>
            <w:vAlign w:val="top"/>
          </w:tcPr>
          <w:p w14:paraId="5286504C" w14:textId="613665FD" w:rsidR="00DC5D04" w:rsidRDefault="00DC5D04" w:rsidP="00E30F40">
            <w:pPr>
              <w:spacing w:before="120" w:after="120"/>
              <w:rPr>
                <w:bCs/>
              </w:rPr>
            </w:pPr>
            <w:r>
              <w:rPr>
                <w:bCs/>
              </w:rPr>
              <w:t>Long-term rating scale</w:t>
            </w:r>
          </w:p>
        </w:tc>
      </w:tr>
      <w:tr w:rsidR="00DC5D04" w:rsidRPr="00612352" w14:paraId="3A609219" w14:textId="77777777" w:rsidTr="00DC5D04">
        <w:tc>
          <w:tcPr>
            <w:tcW w:w="4023" w:type="dxa"/>
            <w:tcBorders>
              <w:top w:val="nil"/>
              <w:bottom w:val="nil"/>
            </w:tcBorders>
            <w:vAlign w:val="top"/>
          </w:tcPr>
          <w:p w14:paraId="32FBD5E6" w14:textId="77777777" w:rsidR="00DC5D04" w:rsidRPr="001B32F8" w:rsidRDefault="00DC5D04" w:rsidP="00DC5D04">
            <w:pPr>
              <w:spacing w:before="120" w:after="120"/>
            </w:pPr>
          </w:p>
        </w:tc>
        <w:tc>
          <w:tcPr>
            <w:tcW w:w="6150" w:type="dxa"/>
            <w:tcBorders>
              <w:top w:val="nil"/>
              <w:bottom w:val="nil"/>
            </w:tcBorders>
            <w:vAlign w:val="top"/>
          </w:tcPr>
          <w:p w14:paraId="0249AF07" w14:textId="63099D96" w:rsidR="00DC5D04" w:rsidRDefault="00DC5D04" w:rsidP="00DC5D04">
            <w:pPr>
              <w:spacing w:before="120" w:after="120"/>
            </w:pPr>
            <w:r>
              <w:t>SME issuer rating</w:t>
            </w:r>
          </w:p>
        </w:tc>
        <w:tc>
          <w:tcPr>
            <w:tcW w:w="2693" w:type="dxa"/>
            <w:tcBorders>
              <w:top w:val="nil"/>
              <w:bottom w:val="nil"/>
            </w:tcBorders>
            <w:vAlign w:val="top"/>
          </w:tcPr>
          <w:p w14:paraId="5FCC442E" w14:textId="189B89B4" w:rsidR="00DC5D04" w:rsidRDefault="00DC5D04" w:rsidP="00DC5D04">
            <w:pPr>
              <w:spacing w:before="120" w:after="120"/>
              <w:rPr>
                <w:bCs/>
              </w:rPr>
            </w:pPr>
            <w:r>
              <w:rPr>
                <w:bCs/>
              </w:rPr>
              <w:t>Long-term rating scale</w:t>
            </w:r>
          </w:p>
        </w:tc>
      </w:tr>
      <w:tr w:rsidR="00DC5D04" w:rsidRPr="00612352" w14:paraId="739218C5" w14:textId="77777777" w:rsidTr="006F292F">
        <w:tc>
          <w:tcPr>
            <w:tcW w:w="4023" w:type="dxa"/>
            <w:tcBorders>
              <w:top w:val="nil"/>
              <w:bottom w:val="nil"/>
            </w:tcBorders>
            <w:vAlign w:val="top"/>
          </w:tcPr>
          <w:p w14:paraId="466718E8" w14:textId="77777777" w:rsidR="00DC5D04" w:rsidRPr="001B32F8" w:rsidRDefault="00DC5D04" w:rsidP="00DC5D04">
            <w:pPr>
              <w:spacing w:before="120" w:after="120"/>
            </w:pPr>
          </w:p>
        </w:tc>
        <w:tc>
          <w:tcPr>
            <w:tcW w:w="6150" w:type="dxa"/>
            <w:tcBorders>
              <w:top w:val="nil"/>
              <w:bottom w:val="nil"/>
            </w:tcBorders>
            <w:vAlign w:val="top"/>
          </w:tcPr>
          <w:p w14:paraId="7C33530B" w14:textId="3318521D" w:rsidR="00DC5D04" w:rsidRDefault="00DC5D04" w:rsidP="00DC5D04">
            <w:pPr>
              <w:spacing w:before="120" w:after="120"/>
            </w:pPr>
            <w:r>
              <w:t>SME issue rating</w:t>
            </w:r>
          </w:p>
        </w:tc>
        <w:tc>
          <w:tcPr>
            <w:tcW w:w="2693" w:type="dxa"/>
            <w:tcBorders>
              <w:top w:val="nil"/>
              <w:bottom w:val="nil"/>
            </w:tcBorders>
            <w:vAlign w:val="top"/>
          </w:tcPr>
          <w:p w14:paraId="5805DA3C" w14:textId="77777777" w:rsidR="00DC5D04" w:rsidRDefault="00DC5D04" w:rsidP="00DC5D04">
            <w:pPr>
              <w:spacing w:before="120" w:after="120"/>
              <w:rPr>
                <w:bCs/>
              </w:rPr>
            </w:pPr>
            <w:r>
              <w:rPr>
                <w:bCs/>
              </w:rPr>
              <w:t>Long-term rating scale</w:t>
            </w:r>
          </w:p>
        </w:tc>
      </w:tr>
      <w:tr w:rsidR="00DC5D04" w:rsidRPr="00612352" w14:paraId="4538B24F" w14:textId="77777777" w:rsidTr="006F292F">
        <w:tc>
          <w:tcPr>
            <w:tcW w:w="4023" w:type="dxa"/>
            <w:tcBorders>
              <w:top w:val="single" w:sz="4" w:space="0" w:color="auto"/>
              <w:bottom w:val="nil"/>
            </w:tcBorders>
            <w:vAlign w:val="top"/>
          </w:tcPr>
          <w:p w14:paraId="46CD29C3" w14:textId="77777777" w:rsidR="00DC5D04" w:rsidRPr="001B32F8" w:rsidRDefault="00DC5D04" w:rsidP="00DC5D04">
            <w:pPr>
              <w:spacing w:before="120" w:after="120"/>
            </w:pPr>
            <w:r>
              <w:t>Covered bonds</w:t>
            </w:r>
          </w:p>
        </w:tc>
        <w:tc>
          <w:tcPr>
            <w:tcW w:w="6150" w:type="dxa"/>
            <w:tcBorders>
              <w:top w:val="single" w:sz="4" w:space="0" w:color="auto"/>
              <w:bottom w:val="nil"/>
            </w:tcBorders>
            <w:vAlign w:val="top"/>
          </w:tcPr>
          <w:p w14:paraId="47C802C5" w14:textId="0517BADD" w:rsidR="00DC5D04" w:rsidRPr="001B32F8" w:rsidRDefault="008B3F8D" w:rsidP="009A0A26">
            <w:pPr>
              <w:spacing w:before="120" w:after="120"/>
            </w:pPr>
            <w:r>
              <w:t>Bank c</w:t>
            </w:r>
            <w:r w:rsidR="00DC5D04">
              <w:t>overed bond</w:t>
            </w:r>
            <w:r>
              <w:t>s</w:t>
            </w:r>
            <w:r w:rsidR="00DC5D04">
              <w:t xml:space="preserve"> rating</w:t>
            </w:r>
          </w:p>
        </w:tc>
        <w:tc>
          <w:tcPr>
            <w:tcW w:w="2693" w:type="dxa"/>
            <w:tcBorders>
              <w:top w:val="single" w:sz="4" w:space="0" w:color="auto"/>
              <w:bottom w:val="nil"/>
            </w:tcBorders>
            <w:vAlign w:val="top"/>
          </w:tcPr>
          <w:p w14:paraId="5F1F0CBE" w14:textId="77777777" w:rsidR="00DC5D04" w:rsidRDefault="00DC5D04" w:rsidP="00DC5D04">
            <w:pPr>
              <w:spacing w:before="120" w:after="120"/>
            </w:pPr>
            <w:r>
              <w:rPr>
                <w:bCs/>
              </w:rPr>
              <w:t>Long-term rating scale</w:t>
            </w:r>
          </w:p>
        </w:tc>
      </w:tr>
      <w:tr w:rsidR="008B3F8D" w:rsidRPr="00612352" w14:paraId="08F71571" w14:textId="77777777" w:rsidTr="006F292F">
        <w:tc>
          <w:tcPr>
            <w:tcW w:w="4023" w:type="dxa"/>
            <w:tcBorders>
              <w:top w:val="nil"/>
              <w:bottom w:val="nil"/>
            </w:tcBorders>
            <w:vAlign w:val="top"/>
          </w:tcPr>
          <w:p w14:paraId="36F483DB" w14:textId="77777777" w:rsidR="008B3F8D" w:rsidRDefault="008B3F8D" w:rsidP="00DC5D04">
            <w:pPr>
              <w:spacing w:before="120" w:after="120"/>
            </w:pPr>
          </w:p>
        </w:tc>
        <w:tc>
          <w:tcPr>
            <w:tcW w:w="6150" w:type="dxa"/>
            <w:tcBorders>
              <w:top w:val="nil"/>
              <w:bottom w:val="nil"/>
            </w:tcBorders>
            <w:vAlign w:val="top"/>
          </w:tcPr>
          <w:p w14:paraId="5D7335BC" w14:textId="402F3A43" w:rsidR="008B3F8D" w:rsidRDefault="008B3F8D" w:rsidP="008B3F8D">
            <w:pPr>
              <w:spacing w:before="120" w:after="120"/>
            </w:pPr>
            <w:r>
              <w:t>Institutional investor debt rating</w:t>
            </w:r>
          </w:p>
        </w:tc>
        <w:tc>
          <w:tcPr>
            <w:tcW w:w="2693" w:type="dxa"/>
            <w:tcBorders>
              <w:top w:val="nil"/>
              <w:bottom w:val="nil"/>
            </w:tcBorders>
            <w:vAlign w:val="top"/>
          </w:tcPr>
          <w:p w14:paraId="27E14A96" w14:textId="0D17545E" w:rsidR="008B3F8D" w:rsidRDefault="008B3F8D" w:rsidP="00DC5D04">
            <w:pPr>
              <w:spacing w:before="120" w:after="120"/>
              <w:rPr>
                <w:bCs/>
              </w:rPr>
            </w:pPr>
            <w:r>
              <w:rPr>
                <w:bCs/>
              </w:rPr>
              <w:t>Long-term rating scale</w:t>
            </w:r>
          </w:p>
        </w:tc>
      </w:tr>
    </w:tbl>
    <w:p w14:paraId="2B1D6002" w14:textId="77777777" w:rsidR="00175032" w:rsidRDefault="00175032" w:rsidP="00DF71B5">
      <w:pPr>
        <w:pStyle w:val="FootnoteText"/>
      </w:pPr>
      <w:r>
        <w:t xml:space="preserve">Source: </w:t>
      </w:r>
      <w:proofErr w:type="spellStart"/>
      <w:r w:rsidR="001512D3">
        <w:t>C</w:t>
      </w:r>
      <w:r w:rsidR="0022391F">
        <w:t>reditreform</w:t>
      </w:r>
      <w:proofErr w:type="spellEnd"/>
    </w:p>
    <w:p w14:paraId="20F9085E" w14:textId="6527F76C" w:rsidR="00245FF8" w:rsidRPr="003B1591" w:rsidRDefault="002C3E7A" w:rsidP="007036AB">
      <w:pPr>
        <w:pStyle w:val="Figuretitle"/>
      </w:pPr>
      <w:r>
        <w:br w:type="page"/>
      </w:r>
      <w:bookmarkStart w:id="4" w:name="_Ref384802193"/>
      <w:r w:rsidR="0041788D" w:rsidRPr="0041788D">
        <w:rPr>
          <w:szCs w:val="22"/>
        </w:rPr>
        <w:t xml:space="preserve">Figure </w:t>
      </w:r>
      <w:r w:rsidR="0041788D" w:rsidRPr="0041788D">
        <w:rPr>
          <w:szCs w:val="22"/>
        </w:rPr>
        <w:fldChar w:fldCharType="begin"/>
      </w:r>
      <w:r w:rsidR="0041788D" w:rsidRPr="0041788D">
        <w:rPr>
          <w:szCs w:val="22"/>
        </w:rPr>
        <w:instrText xml:space="preserve"> SEQ Figure \* ARABIC </w:instrText>
      </w:r>
      <w:r w:rsidR="0041788D" w:rsidRPr="0041788D">
        <w:rPr>
          <w:szCs w:val="22"/>
        </w:rPr>
        <w:fldChar w:fldCharType="separate"/>
      </w:r>
      <w:r w:rsidR="005E03FA">
        <w:rPr>
          <w:szCs w:val="22"/>
        </w:rPr>
        <w:t>3</w:t>
      </w:r>
      <w:r w:rsidR="0041788D" w:rsidRPr="0041788D">
        <w:rPr>
          <w:szCs w:val="22"/>
        </w:rPr>
        <w:fldChar w:fldCharType="end"/>
      </w:r>
      <w:bookmarkEnd w:id="4"/>
      <w:r w:rsidR="00B32405">
        <w:t>:</w:t>
      </w:r>
      <w:r w:rsidR="004D6FA8" w:rsidRPr="004D6FA8">
        <w:rPr>
          <w:bCs w:val="0"/>
        </w:rPr>
        <w:t xml:space="preserve"> </w:t>
      </w:r>
      <w:r w:rsidR="004D6FA8">
        <w:rPr>
          <w:bCs w:val="0"/>
        </w:rPr>
        <w:t xml:space="preserve">Long-term </w:t>
      </w:r>
      <w:r w:rsidR="00513979">
        <w:rPr>
          <w:bCs w:val="0"/>
        </w:rPr>
        <w:t xml:space="preserve">issuer </w:t>
      </w:r>
      <w:r w:rsidR="004D6FA8">
        <w:rPr>
          <w:bCs w:val="0"/>
        </w:rPr>
        <w:t>rating scale</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0CD6294D"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CC2B73F"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24FCAF19"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22391F" w:rsidRPr="001512D3" w14:paraId="38C1801D" w14:textId="77777777" w:rsidTr="00924B10">
        <w:tc>
          <w:tcPr>
            <w:tcW w:w="1418" w:type="dxa"/>
            <w:tcBorders>
              <w:top w:val="single" w:sz="18" w:space="0" w:color="E98E31" w:themeColor="background2"/>
              <w:bottom w:val="dashed" w:sz="4" w:space="0" w:color="auto"/>
            </w:tcBorders>
          </w:tcPr>
          <w:p w14:paraId="0EFB32F0"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55DDCAFF"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Highest level of creditworthiness, lowest default risk </w:t>
            </w:r>
          </w:p>
        </w:tc>
      </w:tr>
      <w:tr w:rsidR="0022391F" w:rsidRPr="00245FF8" w14:paraId="7E32CCF5" w14:textId="77777777" w:rsidTr="00924B10">
        <w:tc>
          <w:tcPr>
            <w:tcW w:w="1418" w:type="dxa"/>
            <w:tcBorders>
              <w:bottom w:val="dashed" w:sz="4" w:space="0" w:color="auto"/>
            </w:tcBorders>
          </w:tcPr>
          <w:p w14:paraId="725CAC74"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14:paraId="6850C8C3"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Very high level of creditworthiness, very low default risk</w:t>
            </w:r>
          </w:p>
        </w:tc>
      </w:tr>
      <w:tr w:rsidR="0022391F" w:rsidRPr="00245FF8" w14:paraId="192F024B" w14:textId="77777777" w:rsidTr="00924B10">
        <w:tc>
          <w:tcPr>
            <w:tcW w:w="1418" w:type="dxa"/>
            <w:tcBorders>
              <w:bottom w:val="dashed" w:sz="4" w:space="0" w:color="auto"/>
            </w:tcBorders>
          </w:tcPr>
          <w:p w14:paraId="7DEDD753"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14:paraId="286A82F7"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High level of creditworthiness, low default risk </w:t>
            </w:r>
            <w:r w:rsidR="0022391F" w:rsidRPr="00B86C82">
              <w:rPr>
                <w:rFonts w:asciiTheme="minorHAnsi" w:eastAsia="Times New Roman" w:hAnsiTheme="minorHAnsi"/>
                <w:sz w:val="22"/>
                <w:szCs w:val="22"/>
              </w:rPr>
              <w:t xml:space="preserve"> </w:t>
            </w:r>
          </w:p>
        </w:tc>
      </w:tr>
      <w:tr w:rsidR="0022391F" w:rsidRPr="00245FF8" w14:paraId="3B2FC7DE" w14:textId="77777777" w:rsidTr="00924B10">
        <w:tc>
          <w:tcPr>
            <w:tcW w:w="1418" w:type="dxa"/>
          </w:tcPr>
          <w:p w14:paraId="3B77B271"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7A055F8E"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Highly satisfactory level of creditworthiness, low to medium default risk </w:t>
            </w:r>
          </w:p>
        </w:tc>
      </w:tr>
      <w:tr w:rsidR="0022391F" w:rsidRPr="00245FF8" w14:paraId="7067C9A3" w14:textId="77777777" w:rsidTr="00924B10">
        <w:tc>
          <w:tcPr>
            <w:tcW w:w="1418" w:type="dxa"/>
          </w:tcPr>
          <w:p w14:paraId="33135E19"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090DC5BE"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Satisfactory level of creditworthiness, medium default risk </w:t>
            </w:r>
            <w:r w:rsidR="0022391F" w:rsidRPr="00B86C82">
              <w:rPr>
                <w:rFonts w:asciiTheme="minorHAnsi" w:eastAsia="Times New Roman" w:hAnsiTheme="minorHAnsi"/>
                <w:sz w:val="22"/>
                <w:szCs w:val="22"/>
              </w:rPr>
              <w:t>s</w:t>
            </w:r>
          </w:p>
        </w:tc>
      </w:tr>
      <w:tr w:rsidR="0022391F" w:rsidRPr="00245FF8" w14:paraId="5B0AAFF2" w14:textId="77777777" w:rsidTr="00924B10">
        <w:tc>
          <w:tcPr>
            <w:tcW w:w="1418" w:type="dxa"/>
          </w:tcPr>
          <w:p w14:paraId="58AF5438"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593ED8A9"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Moderate level of creditworthiness, increased default risk </w:t>
            </w:r>
          </w:p>
        </w:tc>
      </w:tr>
      <w:tr w:rsidR="0022391F" w:rsidRPr="00245FF8" w14:paraId="468E22C4" w14:textId="77777777" w:rsidTr="00924B10">
        <w:tc>
          <w:tcPr>
            <w:tcW w:w="1418" w:type="dxa"/>
          </w:tcPr>
          <w:p w14:paraId="440CCDFA"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tcPr>
          <w:p w14:paraId="3A46BB59"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Low level of creditworthiness, high or very high default risk </w:t>
            </w:r>
          </w:p>
        </w:tc>
      </w:tr>
      <w:tr w:rsidR="00B86C82" w:rsidRPr="00245FF8" w14:paraId="1EE14132" w14:textId="77777777" w:rsidTr="00924B10">
        <w:tc>
          <w:tcPr>
            <w:tcW w:w="1418" w:type="dxa"/>
          </w:tcPr>
          <w:p w14:paraId="55D8A673" w14:textId="77777777" w:rsidR="00B86C82" w:rsidRPr="00245FF8" w:rsidRDefault="00B86C82"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SD</w:t>
            </w:r>
          </w:p>
        </w:tc>
        <w:tc>
          <w:tcPr>
            <w:tcW w:w="12332" w:type="dxa"/>
          </w:tcPr>
          <w:p w14:paraId="73765D2B" w14:textId="77777777" w:rsidR="00B86C82"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Insufficient level of creditworthiness, selective default of a considerable proportion of the company’s payment obligations </w:t>
            </w:r>
          </w:p>
        </w:tc>
      </w:tr>
      <w:tr w:rsidR="0022391F" w:rsidRPr="00245FF8" w14:paraId="5EC7DAF4" w14:textId="77777777" w:rsidTr="00924B10">
        <w:tc>
          <w:tcPr>
            <w:tcW w:w="1418" w:type="dxa"/>
          </w:tcPr>
          <w:p w14:paraId="428ED755" w14:textId="77777777" w:rsidR="0022391F" w:rsidRPr="00245FF8" w:rsidRDefault="0022391F" w:rsidP="001512D3">
            <w:pPr>
              <w:pStyle w:val="BodyText1"/>
              <w:spacing w:before="120" w:after="120"/>
              <w:jc w:val="center"/>
              <w:rPr>
                <w:rFonts w:asciiTheme="minorHAnsi" w:hAnsiTheme="minorHAnsi" w:cs="Arial"/>
                <w:sz w:val="22"/>
                <w:szCs w:val="22"/>
              </w:rPr>
            </w:pPr>
            <w:r>
              <w:rPr>
                <w:rFonts w:asciiTheme="minorHAnsi" w:hAnsiTheme="minorHAnsi" w:cs="Arial"/>
                <w:sz w:val="22"/>
                <w:szCs w:val="22"/>
              </w:rPr>
              <w:t>D</w:t>
            </w:r>
          </w:p>
        </w:tc>
        <w:tc>
          <w:tcPr>
            <w:tcW w:w="12332" w:type="dxa"/>
          </w:tcPr>
          <w:p w14:paraId="7CE7AC3F" w14:textId="77777777" w:rsidR="0022391F" w:rsidRPr="00924B10"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Insufficient level of creditworthiness, default, insolvency</w:t>
            </w:r>
            <w:r>
              <w:rPr>
                <w:sz w:val="16"/>
                <w:szCs w:val="16"/>
              </w:rPr>
              <w:t xml:space="preserve"> </w:t>
            </w:r>
          </w:p>
        </w:tc>
      </w:tr>
    </w:tbl>
    <w:p w14:paraId="3427BC66" w14:textId="77777777" w:rsidR="00175032" w:rsidRDefault="00175032" w:rsidP="00DF71B5">
      <w:pPr>
        <w:pStyle w:val="FootnoteText"/>
      </w:pPr>
      <w:r>
        <w:t xml:space="preserve">Source: </w:t>
      </w:r>
      <w:proofErr w:type="spellStart"/>
      <w:r w:rsidR="0022391F">
        <w:t>Creditreform</w:t>
      </w:r>
      <w:proofErr w:type="spellEnd"/>
    </w:p>
    <w:p w14:paraId="73737543" w14:textId="4CBB5582" w:rsidR="008818C1" w:rsidRDefault="008818C1" w:rsidP="00FE361D">
      <w:pPr>
        <w:pStyle w:val="BodyText"/>
      </w:pPr>
    </w:p>
    <w:p w14:paraId="1AD4F985" w14:textId="77777777" w:rsidR="00A92358" w:rsidRPr="00157D76" w:rsidRDefault="00A92358" w:rsidP="00671D4C">
      <w:pPr>
        <w:pStyle w:val="Titlelevel2"/>
        <w:outlineLvl w:val="0"/>
      </w:pPr>
    </w:p>
    <w:sectPr w:rsidR="00A92358" w:rsidRPr="00157D76" w:rsidSect="00010D71">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5AE87" w14:textId="77777777" w:rsidR="00CA5B8F" w:rsidRDefault="00CA5B8F" w:rsidP="00A00E34">
      <w:r>
        <w:separator/>
      </w:r>
    </w:p>
    <w:p w14:paraId="2BA55945" w14:textId="77777777" w:rsidR="00CA5B8F" w:rsidRDefault="00CA5B8F"/>
  </w:endnote>
  <w:endnote w:type="continuationSeparator" w:id="0">
    <w:p w14:paraId="20529D54" w14:textId="77777777" w:rsidR="00CA5B8F" w:rsidRDefault="00CA5B8F" w:rsidP="00A00E34">
      <w:r>
        <w:continuationSeparator/>
      </w:r>
    </w:p>
    <w:p w14:paraId="1C6A68F3" w14:textId="77777777" w:rsidR="00CA5B8F" w:rsidRDefault="00CA5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7CED0" w14:textId="77777777" w:rsidR="00CB06AC" w:rsidRDefault="00CB06AC"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45D927" w14:textId="77777777" w:rsidR="00CB06AC" w:rsidRDefault="00CB06AC"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17307" w14:textId="1DF19EE7" w:rsidR="00CB06AC" w:rsidRDefault="00CB06AC"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55D9">
      <w:rPr>
        <w:rStyle w:val="PageNumber"/>
        <w:noProof/>
      </w:rPr>
      <w:t>1</w:t>
    </w:r>
    <w:r>
      <w:rPr>
        <w:rStyle w:val="PageNumber"/>
      </w:rPr>
      <w:fldChar w:fldCharType="end"/>
    </w:r>
  </w:p>
  <w:p w14:paraId="66E69687" w14:textId="75C3ABF2" w:rsidR="00CB06AC" w:rsidRDefault="00CB06AC"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1D1DD5F3" wp14:editId="1CA59888">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3DA9E9"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9B22A" w14:textId="3E9CB44D" w:rsidR="00CB06AC" w:rsidRDefault="00CB06AC"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104BA45" w14:textId="77777777" w:rsidR="00CB06AC" w:rsidRDefault="00CB06AC"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240E4320" wp14:editId="5231D833">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9081E1"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C0FC" w14:textId="77777777" w:rsidR="00CB06AC" w:rsidRDefault="00CB06AC"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4161E1" w14:textId="77777777" w:rsidR="00CB06AC" w:rsidRDefault="00CB06AC"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C831" w14:textId="435A482E" w:rsidR="00CB06AC" w:rsidRDefault="00CB06AC"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55D9">
      <w:rPr>
        <w:rStyle w:val="PageNumber"/>
        <w:noProof/>
      </w:rPr>
      <w:t>4</w:t>
    </w:r>
    <w:r>
      <w:rPr>
        <w:rStyle w:val="PageNumber"/>
      </w:rPr>
      <w:fldChar w:fldCharType="end"/>
    </w:r>
  </w:p>
  <w:p w14:paraId="0EEAF272" w14:textId="77777777" w:rsidR="00CB06AC" w:rsidRDefault="00CB06AC"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361F5456" wp14:editId="6AF32668">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A5E4C6"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770BA" w14:textId="13EDDD98" w:rsidR="00CB06AC" w:rsidRDefault="00CB06AC"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55D9">
      <w:rPr>
        <w:rStyle w:val="PageNumber"/>
        <w:noProof/>
      </w:rPr>
      <w:t>3</w:t>
    </w:r>
    <w:r>
      <w:rPr>
        <w:rStyle w:val="PageNumber"/>
      </w:rPr>
      <w:fldChar w:fldCharType="end"/>
    </w:r>
  </w:p>
  <w:p w14:paraId="524C6404" w14:textId="77777777" w:rsidR="00CB06AC" w:rsidRDefault="00CB06AC"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01FB2092" wp14:editId="1A1D3844">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210D15"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0D51C" w14:textId="77777777" w:rsidR="00CA5B8F" w:rsidRPr="00DB5E8F" w:rsidRDefault="00CA5B8F">
      <w:pPr>
        <w:rPr>
          <w:sz w:val="12"/>
          <w:szCs w:val="12"/>
        </w:rPr>
      </w:pPr>
      <w:r w:rsidRPr="00DB5E8F">
        <w:rPr>
          <w:sz w:val="12"/>
          <w:szCs w:val="12"/>
        </w:rPr>
        <w:separator/>
      </w:r>
    </w:p>
  </w:footnote>
  <w:footnote w:type="continuationSeparator" w:id="0">
    <w:p w14:paraId="1F4B0F8A" w14:textId="77777777" w:rsidR="00CA5B8F" w:rsidRDefault="00CA5B8F" w:rsidP="00A00E34">
      <w:r>
        <w:continuationSeparator/>
      </w:r>
    </w:p>
    <w:p w14:paraId="1D9FDB34" w14:textId="77777777" w:rsidR="00CA5B8F" w:rsidRDefault="00CA5B8F"/>
  </w:footnote>
  <w:footnote w:type="continuationNotice" w:id="1">
    <w:p w14:paraId="2CE20DBD" w14:textId="77777777" w:rsidR="00CA5B8F" w:rsidRDefault="00CA5B8F"/>
  </w:footnote>
  <w:footnote w:id="2">
    <w:p w14:paraId="17B66C75" w14:textId="77777777" w:rsidR="00CB06AC" w:rsidRDefault="00CB06AC" w:rsidP="00DF71B5">
      <w:pPr>
        <w:pStyle w:val="FootnoteText"/>
      </w:pPr>
      <w:r>
        <w:rPr>
          <w:rStyle w:val="FootnoteReference"/>
        </w:rPr>
        <w:footnoteRef/>
      </w:r>
      <w:r>
        <w:t xml:space="preserve"> As explained in recital 4 of the Implementing Regulation,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81C50" w14:textId="77777777" w:rsidR="00CB06AC" w:rsidRDefault="00C055D9">
    <w:sdt>
      <w:sdtPr>
        <w:id w:val="1779677922"/>
        <w:temporary/>
        <w:showingPlcHdr/>
      </w:sdtPr>
      <w:sdtEndPr/>
      <w:sdtContent>
        <w:r w:rsidR="00CB06AC">
          <w:t>[Type text]</w:t>
        </w:r>
      </w:sdtContent>
    </w:sdt>
    <w:r w:rsidR="00CB06AC">
      <w:ptab w:relativeTo="margin" w:alignment="center" w:leader="none"/>
    </w:r>
    <w:sdt>
      <w:sdtPr>
        <w:id w:val="-773945102"/>
        <w:temporary/>
        <w:showingPlcHdr/>
      </w:sdtPr>
      <w:sdtEndPr/>
      <w:sdtContent>
        <w:r w:rsidR="00CB06AC">
          <w:t>[Type text]</w:t>
        </w:r>
      </w:sdtContent>
    </w:sdt>
    <w:r w:rsidR="00CB06AC">
      <w:ptab w:relativeTo="margin" w:alignment="right" w:leader="none"/>
    </w:r>
    <w:sdt>
      <w:sdtPr>
        <w:id w:val="16049768"/>
        <w:temporary/>
        <w:showingPlcHdr/>
      </w:sdtPr>
      <w:sdtEndPr/>
      <w:sdtContent>
        <w:r w:rsidR="00CB06AC">
          <w:t>[Type text]</w:t>
        </w:r>
      </w:sdtContent>
    </w:sdt>
  </w:p>
  <w:p w14:paraId="6AB318B4" w14:textId="77777777" w:rsidR="00CB06AC" w:rsidRDefault="00CB06A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F7D2B" w14:textId="77777777" w:rsidR="00CB06AC" w:rsidRPr="000069A9" w:rsidRDefault="00CB06AC" w:rsidP="000069A9">
    <w:pPr>
      <w:pStyle w:val="Header"/>
    </w:pPr>
    <w:r w:rsidRPr="000069A9">
      <w:rPr>
        <w:noProof/>
        <w:lang w:eastAsia="en-GB"/>
      </w:rPr>
      <w:drawing>
        <wp:inline distT="0" distB="0" distL="0" distR="0" wp14:anchorId="0419C40E" wp14:editId="6B8309DA">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DE02B" w14:textId="77777777" w:rsidR="00CB06AC" w:rsidRPr="000069A9" w:rsidRDefault="00CB06AC" w:rsidP="000069A9">
    <w:pPr>
      <w:pStyle w:val="Header"/>
    </w:pPr>
    <w:r w:rsidRPr="000069A9">
      <w:rPr>
        <w:noProof/>
        <w:lang w:eastAsia="en-GB"/>
      </w:rPr>
      <w:drawing>
        <wp:inline distT="0" distB="0" distL="0" distR="0" wp14:anchorId="17D9574D" wp14:editId="07F6D9CD">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8D278" w14:textId="77777777" w:rsidR="00CB06AC" w:rsidRDefault="00C055D9">
    <w:sdt>
      <w:sdtPr>
        <w:id w:val="1866786327"/>
        <w:temporary/>
        <w:showingPlcHdr/>
      </w:sdtPr>
      <w:sdtEndPr/>
      <w:sdtContent>
        <w:r w:rsidR="00CB06AC">
          <w:t>[Type text]</w:t>
        </w:r>
      </w:sdtContent>
    </w:sdt>
    <w:r w:rsidR="00CB06AC">
      <w:ptab w:relativeTo="margin" w:alignment="center" w:leader="none"/>
    </w:r>
    <w:sdt>
      <w:sdtPr>
        <w:id w:val="1990597107"/>
        <w:temporary/>
        <w:showingPlcHdr/>
      </w:sdtPr>
      <w:sdtEndPr/>
      <w:sdtContent>
        <w:r w:rsidR="00CB06AC">
          <w:t>[Type text]</w:t>
        </w:r>
      </w:sdtContent>
    </w:sdt>
    <w:r w:rsidR="00CB06AC">
      <w:ptab w:relativeTo="margin" w:alignment="right" w:leader="none"/>
    </w:r>
    <w:sdt>
      <w:sdtPr>
        <w:id w:val="-765308557"/>
        <w:temporary/>
        <w:showingPlcHdr/>
      </w:sdtPr>
      <w:sdtEndPr/>
      <w:sdtContent>
        <w:r w:rsidR="00CB06AC">
          <w:t>[Type text]</w:t>
        </w:r>
      </w:sdtContent>
    </w:sdt>
  </w:p>
  <w:p w14:paraId="444F0F53" w14:textId="77777777" w:rsidR="00CB06AC" w:rsidRDefault="00CB06A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73F88" w14:textId="77777777" w:rsidR="00CB06AC" w:rsidRPr="000069A9" w:rsidRDefault="00CB06AC" w:rsidP="000069A9">
    <w:pPr>
      <w:pStyle w:val="Header"/>
    </w:pPr>
    <w:r w:rsidRPr="000069A9">
      <w:rPr>
        <w:noProof/>
        <w:lang w:eastAsia="en-GB"/>
      </w:rPr>
      <w:drawing>
        <wp:inline distT="0" distB="0" distL="0" distR="0" wp14:anchorId="490AFCF0" wp14:editId="459667F7">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E6C74" w14:textId="77777777" w:rsidR="00CB06AC" w:rsidRPr="000069A9" w:rsidRDefault="00CB06AC" w:rsidP="000069A9">
    <w:pPr>
      <w:pStyle w:val="Header"/>
    </w:pPr>
    <w:r w:rsidRPr="000069A9">
      <w:rPr>
        <w:noProof/>
        <w:lang w:eastAsia="en-GB"/>
      </w:rPr>
      <w:drawing>
        <wp:inline distT="0" distB="0" distL="0" distR="0" wp14:anchorId="0D154258" wp14:editId="039EE671">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F5502"/>
    <w:multiLevelType w:val="hybridMultilevel"/>
    <w:tmpl w:val="CBAA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7"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3C2B82"/>
    <w:multiLevelType w:val="hybridMultilevel"/>
    <w:tmpl w:val="87C409BA"/>
    <w:lvl w:ilvl="0" w:tplc="98626418">
      <w:numFmt w:val="bullet"/>
      <w:lvlText w:val="-"/>
      <w:lvlJc w:val="left"/>
      <w:pPr>
        <w:ind w:left="644" w:hanging="360"/>
      </w:pPr>
      <w:rPr>
        <w:rFonts w:ascii="Calibri" w:eastAsiaTheme="minorEastAsia" w:hAnsi="Calibri" w:cstheme="minorBid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9"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20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1BA70E60"/>
    <w:multiLevelType w:val="hybridMultilevel"/>
    <w:tmpl w:val="3BC21076"/>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2E02C5E"/>
    <w:multiLevelType w:val="hybridMultilevel"/>
    <w:tmpl w:val="8B78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23DF49B3"/>
    <w:multiLevelType w:val="hybridMultilevel"/>
    <w:tmpl w:val="4E324A94"/>
    <w:lvl w:ilvl="0" w:tplc="08090001">
      <w:start w:val="1"/>
      <w:numFmt w:val="bullet"/>
      <w:lvlText w:val=""/>
      <w:lvlJc w:val="left"/>
      <w:pPr>
        <w:ind w:left="1076" w:hanging="360"/>
      </w:pPr>
      <w:rPr>
        <w:rFonts w:ascii="Symbol" w:hAnsi="Symbol" w:hint="default"/>
      </w:rPr>
    </w:lvl>
    <w:lvl w:ilvl="1" w:tplc="08090003" w:tentative="1">
      <w:start w:val="1"/>
      <w:numFmt w:val="bullet"/>
      <w:lvlText w:val="o"/>
      <w:lvlJc w:val="left"/>
      <w:pPr>
        <w:ind w:left="1436" w:hanging="360"/>
      </w:pPr>
      <w:rPr>
        <w:rFonts w:ascii="Courier New" w:hAnsi="Courier New" w:cs="Courier New" w:hint="default"/>
      </w:rPr>
    </w:lvl>
    <w:lvl w:ilvl="2" w:tplc="08090005" w:tentative="1">
      <w:start w:val="1"/>
      <w:numFmt w:val="bullet"/>
      <w:lvlText w:val=""/>
      <w:lvlJc w:val="left"/>
      <w:pPr>
        <w:ind w:left="2156" w:hanging="360"/>
      </w:pPr>
      <w:rPr>
        <w:rFonts w:ascii="Wingdings" w:hAnsi="Wingdings" w:hint="default"/>
      </w:rPr>
    </w:lvl>
    <w:lvl w:ilvl="3" w:tplc="08090001" w:tentative="1">
      <w:start w:val="1"/>
      <w:numFmt w:val="bullet"/>
      <w:lvlText w:val=""/>
      <w:lvlJc w:val="left"/>
      <w:pPr>
        <w:ind w:left="2876" w:hanging="360"/>
      </w:pPr>
      <w:rPr>
        <w:rFonts w:ascii="Symbol" w:hAnsi="Symbol" w:hint="default"/>
      </w:rPr>
    </w:lvl>
    <w:lvl w:ilvl="4" w:tplc="08090003" w:tentative="1">
      <w:start w:val="1"/>
      <w:numFmt w:val="bullet"/>
      <w:lvlText w:val="o"/>
      <w:lvlJc w:val="left"/>
      <w:pPr>
        <w:ind w:left="3596" w:hanging="360"/>
      </w:pPr>
      <w:rPr>
        <w:rFonts w:ascii="Courier New" w:hAnsi="Courier New" w:cs="Courier New" w:hint="default"/>
      </w:rPr>
    </w:lvl>
    <w:lvl w:ilvl="5" w:tplc="08090005" w:tentative="1">
      <w:start w:val="1"/>
      <w:numFmt w:val="bullet"/>
      <w:lvlText w:val=""/>
      <w:lvlJc w:val="left"/>
      <w:pPr>
        <w:ind w:left="4316" w:hanging="360"/>
      </w:pPr>
      <w:rPr>
        <w:rFonts w:ascii="Wingdings" w:hAnsi="Wingdings" w:hint="default"/>
      </w:rPr>
    </w:lvl>
    <w:lvl w:ilvl="6" w:tplc="08090001" w:tentative="1">
      <w:start w:val="1"/>
      <w:numFmt w:val="bullet"/>
      <w:lvlText w:val=""/>
      <w:lvlJc w:val="left"/>
      <w:pPr>
        <w:ind w:left="5036" w:hanging="360"/>
      </w:pPr>
      <w:rPr>
        <w:rFonts w:ascii="Symbol" w:hAnsi="Symbol" w:hint="default"/>
      </w:rPr>
    </w:lvl>
    <w:lvl w:ilvl="7" w:tplc="08090003" w:tentative="1">
      <w:start w:val="1"/>
      <w:numFmt w:val="bullet"/>
      <w:lvlText w:val="o"/>
      <w:lvlJc w:val="left"/>
      <w:pPr>
        <w:ind w:left="5756" w:hanging="360"/>
      </w:pPr>
      <w:rPr>
        <w:rFonts w:ascii="Courier New" w:hAnsi="Courier New" w:cs="Courier New" w:hint="default"/>
      </w:rPr>
    </w:lvl>
    <w:lvl w:ilvl="8" w:tplc="08090005" w:tentative="1">
      <w:start w:val="1"/>
      <w:numFmt w:val="bullet"/>
      <w:lvlText w:val=""/>
      <w:lvlJc w:val="left"/>
      <w:pPr>
        <w:ind w:left="6476" w:hanging="360"/>
      </w:pPr>
      <w:rPr>
        <w:rFonts w:ascii="Wingdings" w:hAnsi="Wingdings" w:hint="default"/>
      </w:rPr>
    </w:lvl>
  </w:abstractNum>
  <w:abstractNum w:abstractNumId="17"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0" w15:restartNumberingAfterBreak="0">
    <w:nsid w:val="32B050E1"/>
    <w:multiLevelType w:val="hybridMultilevel"/>
    <w:tmpl w:val="427877EE"/>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45D1A90"/>
    <w:multiLevelType w:val="hybridMultilevel"/>
    <w:tmpl w:val="7206C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C27D48"/>
    <w:multiLevelType w:val="hybridMultilevel"/>
    <w:tmpl w:val="547801AE"/>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5061DB"/>
    <w:multiLevelType w:val="hybridMultilevel"/>
    <w:tmpl w:val="A6DCF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50227369"/>
    <w:multiLevelType w:val="hybridMultilevel"/>
    <w:tmpl w:val="CBF042EA"/>
    <w:lvl w:ilvl="0" w:tplc="69AE966A">
      <w:start w:val="1"/>
      <w:numFmt w:val="decimal"/>
      <w:pStyle w:val="numberedparagraph"/>
      <w:lvlText w:val="%1."/>
      <w:lvlJc w:val="left"/>
      <w:pPr>
        <w:tabs>
          <w:tab w:val="num" w:pos="988"/>
        </w:tabs>
        <w:ind w:left="988" w:hanging="284"/>
      </w:pPr>
      <w:rPr>
        <w:rFonts w:hint="default"/>
        <w:color w:val="auto"/>
      </w:rPr>
    </w:lvl>
    <w:lvl w:ilvl="1" w:tplc="04090019" w:tentative="1">
      <w:start w:val="1"/>
      <w:numFmt w:val="lowerLetter"/>
      <w:lvlText w:val="%2."/>
      <w:lvlJc w:val="left"/>
      <w:pPr>
        <w:ind w:left="1434" w:hanging="360"/>
      </w:pPr>
    </w:lvl>
    <w:lvl w:ilvl="2" w:tplc="0409001B" w:tentative="1">
      <w:start w:val="1"/>
      <w:numFmt w:val="lowerRoman"/>
      <w:lvlText w:val="%3."/>
      <w:lvlJc w:val="right"/>
      <w:pPr>
        <w:ind w:left="2154" w:hanging="180"/>
      </w:pPr>
    </w:lvl>
    <w:lvl w:ilvl="3" w:tplc="0409000F" w:tentative="1">
      <w:start w:val="1"/>
      <w:numFmt w:val="decimal"/>
      <w:lvlText w:val="%4."/>
      <w:lvlJc w:val="left"/>
      <w:pPr>
        <w:ind w:left="2874" w:hanging="360"/>
      </w:pPr>
    </w:lvl>
    <w:lvl w:ilvl="4" w:tplc="04090019" w:tentative="1">
      <w:start w:val="1"/>
      <w:numFmt w:val="lowerLetter"/>
      <w:lvlText w:val="%5."/>
      <w:lvlJc w:val="left"/>
      <w:pPr>
        <w:ind w:left="3594" w:hanging="360"/>
      </w:pPr>
    </w:lvl>
    <w:lvl w:ilvl="5" w:tplc="0409001B" w:tentative="1">
      <w:start w:val="1"/>
      <w:numFmt w:val="lowerRoman"/>
      <w:lvlText w:val="%6."/>
      <w:lvlJc w:val="right"/>
      <w:pPr>
        <w:ind w:left="4314" w:hanging="180"/>
      </w:pPr>
    </w:lvl>
    <w:lvl w:ilvl="6" w:tplc="0409000F" w:tentative="1">
      <w:start w:val="1"/>
      <w:numFmt w:val="decimal"/>
      <w:lvlText w:val="%7."/>
      <w:lvlJc w:val="left"/>
      <w:pPr>
        <w:ind w:left="5034" w:hanging="360"/>
      </w:pPr>
    </w:lvl>
    <w:lvl w:ilvl="7" w:tplc="04090019" w:tentative="1">
      <w:start w:val="1"/>
      <w:numFmt w:val="lowerLetter"/>
      <w:lvlText w:val="%8."/>
      <w:lvlJc w:val="left"/>
      <w:pPr>
        <w:ind w:left="5754" w:hanging="360"/>
      </w:pPr>
    </w:lvl>
    <w:lvl w:ilvl="8" w:tplc="0409001B" w:tentative="1">
      <w:start w:val="1"/>
      <w:numFmt w:val="lowerRoman"/>
      <w:lvlText w:val="%9."/>
      <w:lvlJc w:val="right"/>
      <w:pPr>
        <w:ind w:left="6474" w:hanging="180"/>
      </w:pPr>
    </w:lvl>
  </w:abstractNum>
  <w:abstractNum w:abstractNumId="29"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19"/>
  </w:num>
  <w:num w:numId="4">
    <w:abstractNumId w:val="22"/>
  </w:num>
  <w:num w:numId="5">
    <w:abstractNumId w:val="35"/>
  </w:num>
  <w:num w:numId="6">
    <w:abstractNumId w:val="1"/>
  </w:num>
  <w:num w:numId="7">
    <w:abstractNumId w:val="33"/>
  </w:num>
  <w:num w:numId="8">
    <w:abstractNumId w:val="28"/>
  </w:num>
  <w:num w:numId="9">
    <w:abstractNumId w:val="28"/>
    <w:lvlOverride w:ilvl="0">
      <w:startOverride w:val="1"/>
    </w:lvlOverride>
  </w:num>
  <w:num w:numId="10">
    <w:abstractNumId w:val="28"/>
    <w:lvlOverride w:ilvl="0">
      <w:startOverride w:val="1"/>
    </w:lvlOverride>
  </w:num>
  <w:num w:numId="11">
    <w:abstractNumId w:val="28"/>
    <w:lvlOverride w:ilvl="0">
      <w:startOverride w:val="1"/>
    </w:lvlOverride>
  </w:num>
  <w:num w:numId="12">
    <w:abstractNumId w:val="28"/>
    <w:lvlOverride w:ilvl="0">
      <w:startOverride w:val="1"/>
    </w:lvlOverride>
  </w:num>
  <w:num w:numId="13">
    <w:abstractNumId w:val="28"/>
    <w:lvlOverride w:ilvl="0">
      <w:startOverride w:val="1"/>
    </w:lvlOverride>
  </w:num>
  <w:num w:numId="14">
    <w:abstractNumId w:val="28"/>
    <w:lvlOverride w:ilvl="0">
      <w:startOverride w:val="1"/>
    </w:lvlOverride>
  </w:num>
  <w:num w:numId="15">
    <w:abstractNumId w:val="0"/>
  </w:num>
  <w:num w:numId="16">
    <w:abstractNumId w:val="6"/>
  </w:num>
  <w:num w:numId="17">
    <w:abstractNumId w:val="15"/>
  </w:num>
  <w:num w:numId="18">
    <w:abstractNumId w:val="11"/>
  </w:num>
  <w:num w:numId="19">
    <w:abstractNumId w:val="18"/>
  </w:num>
  <w:num w:numId="20">
    <w:abstractNumId w:val="29"/>
  </w:num>
  <w:num w:numId="21">
    <w:abstractNumId w:val="26"/>
  </w:num>
  <w:num w:numId="22">
    <w:abstractNumId w:val="10"/>
  </w:num>
  <w:num w:numId="23">
    <w:abstractNumId w:val="17"/>
  </w:num>
  <w:num w:numId="24">
    <w:abstractNumId w:val="32"/>
  </w:num>
  <w:num w:numId="25">
    <w:abstractNumId w:val="7"/>
  </w:num>
  <w:num w:numId="26">
    <w:abstractNumId w:val="5"/>
  </w:num>
  <w:num w:numId="27">
    <w:abstractNumId w:val="30"/>
  </w:num>
  <w:num w:numId="28">
    <w:abstractNumId w:val="23"/>
  </w:num>
  <w:num w:numId="29">
    <w:abstractNumId w:val="3"/>
  </w:num>
  <w:num w:numId="30">
    <w:abstractNumId w:val="31"/>
  </w:num>
  <w:num w:numId="31">
    <w:abstractNumId w:val="9"/>
  </w:num>
  <w:num w:numId="32">
    <w:abstractNumId w:val="13"/>
  </w:num>
  <w:num w:numId="33">
    <w:abstractNumId w:val="27"/>
  </w:num>
  <w:num w:numId="34">
    <w:abstractNumId w:val="34"/>
  </w:num>
  <w:num w:numId="35">
    <w:abstractNumId w:val="28"/>
  </w:num>
  <w:num w:numId="36">
    <w:abstractNumId w:val="4"/>
  </w:num>
  <w:num w:numId="37">
    <w:abstractNumId w:val="24"/>
  </w:num>
  <w:num w:numId="38">
    <w:abstractNumId w:val="14"/>
  </w:num>
  <w:num w:numId="39">
    <w:abstractNumId w:val="21"/>
  </w:num>
  <w:num w:numId="40">
    <w:abstractNumId w:val="12"/>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28"/>
    <w:lvlOverride w:ilvl="0">
      <w:startOverride w:val="7"/>
    </w:lvlOverride>
  </w:num>
  <w:num w:numId="44">
    <w:abstractNumId w:val="9"/>
  </w:num>
  <w:num w:numId="45">
    <w:abstractNumId w:val="24"/>
  </w:num>
  <w:num w:numId="46">
    <w:abstractNumId w:val="9"/>
  </w:num>
  <w:num w:numId="47">
    <w:abstractNumId w:val="28"/>
  </w:num>
  <w:num w:numId="48">
    <w:abstractNumId w:val="9"/>
  </w:num>
  <w:num w:numId="49">
    <w:abstractNumId w:val="9"/>
  </w:num>
  <w:num w:numId="50">
    <w:abstractNumId w:val="9"/>
  </w:num>
  <w:num w:numId="51">
    <w:abstractNumId w:val="9"/>
  </w:num>
  <w:num w:numId="52">
    <w:abstractNumId w:val="24"/>
  </w:num>
  <w:num w:numId="53">
    <w:abstractNumId w:val="28"/>
  </w:num>
  <w:num w:numId="54">
    <w:abstractNumId w:val="28"/>
  </w:num>
  <w:num w:numId="55">
    <w:abstractNumId w:val="28"/>
  </w:num>
  <w:num w:numId="56">
    <w:abstractNumId w:val="24"/>
  </w:num>
  <w:num w:numId="57">
    <w:abstractNumId w:val="24"/>
  </w:num>
  <w:num w:numId="58">
    <w:abstractNumId w:val="28"/>
  </w:num>
  <w:num w:numId="59">
    <w:abstractNumId w:val="28"/>
  </w:num>
  <w:num w:numId="60">
    <w:abstractNumId w:val="28"/>
  </w:num>
  <w:num w:numId="61">
    <w:abstractNumId w:val="28"/>
  </w:num>
  <w:num w:numId="62">
    <w:abstractNumId w:val="9"/>
  </w:num>
  <w:num w:numId="63">
    <w:abstractNumId w:val="9"/>
  </w:num>
  <w:num w:numId="64">
    <w:abstractNumId w:val="28"/>
  </w:num>
  <w:num w:numId="65">
    <w:abstractNumId w:val="28"/>
  </w:num>
  <w:num w:numId="66">
    <w:abstractNumId w:val="28"/>
  </w:num>
  <w:num w:numId="67">
    <w:abstractNumId w:val="20"/>
  </w:num>
  <w:num w:numId="68">
    <w:abstractNumId w:val="16"/>
  </w:num>
  <w:num w:numId="69">
    <w:abstractNumId w:val="2"/>
  </w:num>
  <w:num w:numId="70">
    <w:abstractNumId w:val="24"/>
  </w:num>
  <w:num w:numId="71">
    <w:abstractNumId w:val="24"/>
  </w:num>
  <w:num w:numId="72">
    <w:abstractNumId w:val="8"/>
  </w:num>
  <w:num w:numId="73">
    <w:abstractNumId w:val="25"/>
  </w:num>
  <w:num w:numId="74">
    <w:abstractNumId w:val="9"/>
  </w:num>
  <w:num w:numId="75">
    <w:abstractNumId w:val="28"/>
  </w:num>
  <w:num w:numId="76">
    <w:abstractNumId w:val="28"/>
  </w:num>
  <w:num w:numId="77">
    <w:abstractNumId w:val="2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0EA3"/>
    <w:rsid w:val="00003F50"/>
    <w:rsid w:val="000052A8"/>
    <w:rsid w:val="00006205"/>
    <w:rsid w:val="000069A9"/>
    <w:rsid w:val="00010D71"/>
    <w:rsid w:val="00013281"/>
    <w:rsid w:val="00015032"/>
    <w:rsid w:val="00015276"/>
    <w:rsid w:val="00016399"/>
    <w:rsid w:val="00021CC0"/>
    <w:rsid w:val="000231B7"/>
    <w:rsid w:val="000269E1"/>
    <w:rsid w:val="00027CA0"/>
    <w:rsid w:val="000302B7"/>
    <w:rsid w:val="00030D65"/>
    <w:rsid w:val="0003221D"/>
    <w:rsid w:val="00032E18"/>
    <w:rsid w:val="00033932"/>
    <w:rsid w:val="000357D7"/>
    <w:rsid w:val="00036322"/>
    <w:rsid w:val="00040494"/>
    <w:rsid w:val="00040BAD"/>
    <w:rsid w:val="000514E3"/>
    <w:rsid w:val="00051700"/>
    <w:rsid w:val="00052FFB"/>
    <w:rsid w:val="00053879"/>
    <w:rsid w:val="00057350"/>
    <w:rsid w:val="00060F40"/>
    <w:rsid w:val="00067CB6"/>
    <w:rsid w:val="00071338"/>
    <w:rsid w:val="000843CD"/>
    <w:rsid w:val="00097383"/>
    <w:rsid w:val="00097F2B"/>
    <w:rsid w:val="000A1C81"/>
    <w:rsid w:val="000A4BCA"/>
    <w:rsid w:val="000A55EF"/>
    <w:rsid w:val="000A6115"/>
    <w:rsid w:val="000A76B5"/>
    <w:rsid w:val="000B1645"/>
    <w:rsid w:val="000C1204"/>
    <w:rsid w:val="000C2645"/>
    <w:rsid w:val="000C29A3"/>
    <w:rsid w:val="000C463F"/>
    <w:rsid w:val="000C4BAC"/>
    <w:rsid w:val="000C5A8A"/>
    <w:rsid w:val="000C7779"/>
    <w:rsid w:val="000D66F6"/>
    <w:rsid w:val="000D7A44"/>
    <w:rsid w:val="000E0C27"/>
    <w:rsid w:val="000E1BD9"/>
    <w:rsid w:val="000E3581"/>
    <w:rsid w:val="000E3B7D"/>
    <w:rsid w:val="000E6D15"/>
    <w:rsid w:val="000E6E82"/>
    <w:rsid w:val="000E7CD6"/>
    <w:rsid w:val="000F37DB"/>
    <w:rsid w:val="000F6495"/>
    <w:rsid w:val="000F6FD8"/>
    <w:rsid w:val="000F766A"/>
    <w:rsid w:val="00105E4A"/>
    <w:rsid w:val="0011332C"/>
    <w:rsid w:val="0011517F"/>
    <w:rsid w:val="0011627A"/>
    <w:rsid w:val="00116C21"/>
    <w:rsid w:val="00121BB0"/>
    <w:rsid w:val="00122140"/>
    <w:rsid w:val="00125AFF"/>
    <w:rsid w:val="0013090C"/>
    <w:rsid w:val="00131C5D"/>
    <w:rsid w:val="001365CA"/>
    <w:rsid w:val="001414BD"/>
    <w:rsid w:val="00141DDB"/>
    <w:rsid w:val="00143F5E"/>
    <w:rsid w:val="00145096"/>
    <w:rsid w:val="00145D24"/>
    <w:rsid w:val="00147FE9"/>
    <w:rsid w:val="001512D3"/>
    <w:rsid w:val="00151755"/>
    <w:rsid w:val="00152832"/>
    <w:rsid w:val="00153C26"/>
    <w:rsid w:val="0015648E"/>
    <w:rsid w:val="00157D76"/>
    <w:rsid w:val="001600FC"/>
    <w:rsid w:val="001610F7"/>
    <w:rsid w:val="00166DCD"/>
    <w:rsid w:val="00167E1F"/>
    <w:rsid w:val="00171121"/>
    <w:rsid w:val="00172007"/>
    <w:rsid w:val="0017242E"/>
    <w:rsid w:val="0017446F"/>
    <w:rsid w:val="00175032"/>
    <w:rsid w:val="001755CA"/>
    <w:rsid w:val="0017676B"/>
    <w:rsid w:val="00177CB7"/>
    <w:rsid w:val="001826E4"/>
    <w:rsid w:val="001834D4"/>
    <w:rsid w:val="001836A7"/>
    <w:rsid w:val="00186110"/>
    <w:rsid w:val="00190E5E"/>
    <w:rsid w:val="00191244"/>
    <w:rsid w:val="00192287"/>
    <w:rsid w:val="00193C0C"/>
    <w:rsid w:val="001A016C"/>
    <w:rsid w:val="001A023A"/>
    <w:rsid w:val="001A236F"/>
    <w:rsid w:val="001A2A81"/>
    <w:rsid w:val="001A3FD7"/>
    <w:rsid w:val="001A690D"/>
    <w:rsid w:val="001A716E"/>
    <w:rsid w:val="001A7F04"/>
    <w:rsid w:val="001B0ECA"/>
    <w:rsid w:val="001B2C0D"/>
    <w:rsid w:val="001B3A5E"/>
    <w:rsid w:val="001B6017"/>
    <w:rsid w:val="001B631A"/>
    <w:rsid w:val="001B7A0B"/>
    <w:rsid w:val="001B7A13"/>
    <w:rsid w:val="001B7EB3"/>
    <w:rsid w:val="001C1FD9"/>
    <w:rsid w:val="001C5043"/>
    <w:rsid w:val="001C5BC2"/>
    <w:rsid w:val="001D0179"/>
    <w:rsid w:val="001D0ECA"/>
    <w:rsid w:val="001E1188"/>
    <w:rsid w:val="001E1DF0"/>
    <w:rsid w:val="001E3599"/>
    <w:rsid w:val="001E73E0"/>
    <w:rsid w:val="001F027E"/>
    <w:rsid w:val="001F1CB9"/>
    <w:rsid w:val="001F1E8A"/>
    <w:rsid w:val="001F2314"/>
    <w:rsid w:val="001F2A7B"/>
    <w:rsid w:val="001F572A"/>
    <w:rsid w:val="001F7501"/>
    <w:rsid w:val="002015DD"/>
    <w:rsid w:val="00205878"/>
    <w:rsid w:val="00211FED"/>
    <w:rsid w:val="00213D7B"/>
    <w:rsid w:val="00214376"/>
    <w:rsid w:val="00214DEC"/>
    <w:rsid w:val="002214CC"/>
    <w:rsid w:val="00222D5C"/>
    <w:rsid w:val="0022391F"/>
    <w:rsid w:val="00224761"/>
    <w:rsid w:val="00224A3F"/>
    <w:rsid w:val="00226463"/>
    <w:rsid w:val="002268DA"/>
    <w:rsid w:val="00227FA4"/>
    <w:rsid w:val="002306C7"/>
    <w:rsid w:val="002326C6"/>
    <w:rsid w:val="00232CB9"/>
    <w:rsid w:val="002332BA"/>
    <w:rsid w:val="00237008"/>
    <w:rsid w:val="00240789"/>
    <w:rsid w:val="00241BD8"/>
    <w:rsid w:val="002434B0"/>
    <w:rsid w:val="00245B9F"/>
    <w:rsid w:val="00245FF8"/>
    <w:rsid w:val="0025349E"/>
    <w:rsid w:val="00254634"/>
    <w:rsid w:val="002562EE"/>
    <w:rsid w:val="00260E8C"/>
    <w:rsid w:val="002613A6"/>
    <w:rsid w:val="00263258"/>
    <w:rsid w:val="002650DE"/>
    <w:rsid w:val="00265E7C"/>
    <w:rsid w:val="0027010A"/>
    <w:rsid w:val="002726D6"/>
    <w:rsid w:val="0027418E"/>
    <w:rsid w:val="00274D09"/>
    <w:rsid w:val="0027552A"/>
    <w:rsid w:val="00280C77"/>
    <w:rsid w:val="00281AAE"/>
    <w:rsid w:val="00281C79"/>
    <w:rsid w:val="00282934"/>
    <w:rsid w:val="00283C5F"/>
    <w:rsid w:val="00285AB7"/>
    <w:rsid w:val="00285BEA"/>
    <w:rsid w:val="00286AD6"/>
    <w:rsid w:val="00287055"/>
    <w:rsid w:val="00290DA3"/>
    <w:rsid w:val="00293E6A"/>
    <w:rsid w:val="00295746"/>
    <w:rsid w:val="00297EA3"/>
    <w:rsid w:val="002A03A6"/>
    <w:rsid w:val="002A7D7C"/>
    <w:rsid w:val="002A7FE3"/>
    <w:rsid w:val="002B3344"/>
    <w:rsid w:val="002B4621"/>
    <w:rsid w:val="002B61CA"/>
    <w:rsid w:val="002B6F3D"/>
    <w:rsid w:val="002C07FD"/>
    <w:rsid w:val="002C0DCF"/>
    <w:rsid w:val="002C3E7A"/>
    <w:rsid w:val="002C4C73"/>
    <w:rsid w:val="002C5B8A"/>
    <w:rsid w:val="002D1867"/>
    <w:rsid w:val="002D4A47"/>
    <w:rsid w:val="002D55D1"/>
    <w:rsid w:val="002E13E2"/>
    <w:rsid w:val="002E238F"/>
    <w:rsid w:val="002E3C63"/>
    <w:rsid w:val="002F1296"/>
    <w:rsid w:val="002F2009"/>
    <w:rsid w:val="002F528A"/>
    <w:rsid w:val="002F62B4"/>
    <w:rsid w:val="002F6CF0"/>
    <w:rsid w:val="002F7608"/>
    <w:rsid w:val="00300924"/>
    <w:rsid w:val="00301D4E"/>
    <w:rsid w:val="003025A8"/>
    <w:rsid w:val="00306C46"/>
    <w:rsid w:val="003119B2"/>
    <w:rsid w:val="00312622"/>
    <w:rsid w:val="003129B6"/>
    <w:rsid w:val="00314D6E"/>
    <w:rsid w:val="00315AC1"/>
    <w:rsid w:val="00315B30"/>
    <w:rsid w:val="00320E57"/>
    <w:rsid w:val="00320F9A"/>
    <w:rsid w:val="003221EF"/>
    <w:rsid w:val="003248A2"/>
    <w:rsid w:val="00330C5F"/>
    <w:rsid w:val="003311F5"/>
    <w:rsid w:val="00332611"/>
    <w:rsid w:val="0033710E"/>
    <w:rsid w:val="003430AC"/>
    <w:rsid w:val="00343AA3"/>
    <w:rsid w:val="0035113D"/>
    <w:rsid w:val="0035415A"/>
    <w:rsid w:val="0035477B"/>
    <w:rsid w:val="003553C0"/>
    <w:rsid w:val="00361704"/>
    <w:rsid w:val="00362163"/>
    <w:rsid w:val="00366D05"/>
    <w:rsid w:val="00370CE9"/>
    <w:rsid w:val="00372BEC"/>
    <w:rsid w:val="00375432"/>
    <w:rsid w:val="0038116B"/>
    <w:rsid w:val="0039037C"/>
    <w:rsid w:val="00392385"/>
    <w:rsid w:val="0039648A"/>
    <w:rsid w:val="00397E56"/>
    <w:rsid w:val="003A1AE9"/>
    <w:rsid w:val="003A28B6"/>
    <w:rsid w:val="003A6079"/>
    <w:rsid w:val="003A6E09"/>
    <w:rsid w:val="003B0B19"/>
    <w:rsid w:val="003B3918"/>
    <w:rsid w:val="003B5496"/>
    <w:rsid w:val="003B78BE"/>
    <w:rsid w:val="003C1767"/>
    <w:rsid w:val="003C1866"/>
    <w:rsid w:val="003C70FC"/>
    <w:rsid w:val="003D0F46"/>
    <w:rsid w:val="003D2BB3"/>
    <w:rsid w:val="003D469C"/>
    <w:rsid w:val="003D5344"/>
    <w:rsid w:val="003D7A72"/>
    <w:rsid w:val="003E06FF"/>
    <w:rsid w:val="003E29BE"/>
    <w:rsid w:val="003E5AE9"/>
    <w:rsid w:val="003F2C9F"/>
    <w:rsid w:val="003F5F1F"/>
    <w:rsid w:val="003F7919"/>
    <w:rsid w:val="00400FB6"/>
    <w:rsid w:val="00407E45"/>
    <w:rsid w:val="004123B6"/>
    <w:rsid w:val="00412567"/>
    <w:rsid w:val="00412B0E"/>
    <w:rsid w:val="00413FAB"/>
    <w:rsid w:val="00415BAA"/>
    <w:rsid w:val="0041788D"/>
    <w:rsid w:val="00421262"/>
    <w:rsid w:val="00424530"/>
    <w:rsid w:val="00427AA0"/>
    <w:rsid w:val="00427F8E"/>
    <w:rsid w:val="00431C02"/>
    <w:rsid w:val="0043577F"/>
    <w:rsid w:val="00441F85"/>
    <w:rsid w:val="004461E6"/>
    <w:rsid w:val="00447CE3"/>
    <w:rsid w:val="00450321"/>
    <w:rsid w:val="0045301B"/>
    <w:rsid w:val="00454279"/>
    <w:rsid w:val="004548EA"/>
    <w:rsid w:val="00455E0E"/>
    <w:rsid w:val="00457EB9"/>
    <w:rsid w:val="00466AB5"/>
    <w:rsid w:val="004719B4"/>
    <w:rsid w:val="00471CA1"/>
    <w:rsid w:val="00471CCE"/>
    <w:rsid w:val="0047217D"/>
    <w:rsid w:val="00475282"/>
    <w:rsid w:val="004811EC"/>
    <w:rsid w:val="00481AC4"/>
    <w:rsid w:val="00482581"/>
    <w:rsid w:val="00482FB6"/>
    <w:rsid w:val="0048377E"/>
    <w:rsid w:val="00484CD8"/>
    <w:rsid w:val="00494781"/>
    <w:rsid w:val="00495404"/>
    <w:rsid w:val="004958AE"/>
    <w:rsid w:val="00497679"/>
    <w:rsid w:val="004A49BC"/>
    <w:rsid w:val="004A5D8B"/>
    <w:rsid w:val="004A6164"/>
    <w:rsid w:val="004A6E15"/>
    <w:rsid w:val="004A749C"/>
    <w:rsid w:val="004B13CF"/>
    <w:rsid w:val="004B2FC0"/>
    <w:rsid w:val="004B50DD"/>
    <w:rsid w:val="004B7065"/>
    <w:rsid w:val="004B7784"/>
    <w:rsid w:val="004C1B19"/>
    <w:rsid w:val="004C29AE"/>
    <w:rsid w:val="004C39C2"/>
    <w:rsid w:val="004C551E"/>
    <w:rsid w:val="004C6392"/>
    <w:rsid w:val="004C7565"/>
    <w:rsid w:val="004D0B02"/>
    <w:rsid w:val="004D0F14"/>
    <w:rsid w:val="004D6FA8"/>
    <w:rsid w:val="004E160A"/>
    <w:rsid w:val="004E405B"/>
    <w:rsid w:val="004E5BFD"/>
    <w:rsid w:val="004E7906"/>
    <w:rsid w:val="004F0AB6"/>
    <w:rsid w:val="004F4F9A"/>
    <w:rsid w:val="004F5DAB"/>
    <w:rsid w:val="004F63DB"/>
    <w:rsid w:val="004F6F11"/>
    <w:rsid w:val="004F73DB"/>
    <w:rsid w:val="005105EF"/>
    <w:rsid w:val="00512306"/>
    <w:rsid w:val="00512A94"/>
    <w:rsid w:val="00513979"/>
    <w:rsid w:val="005144FF"/>
    <w:rsid w:val="00515FF7"/>
    <w:rsid w:val="00516D08"/>
    <w:rsid w:val="0052129A"/>
    <w:rsid w:val="00522471"/>
    <w:rsid w:val="00523895"/>
    <w:rsid w:val="005271F4"/>
    <w:rsid w:val="005273D0"/>
    <w:rsid w:val="00532352"/>
    <w:rsid w:val="00535DC4"/>
    <w:rsid w:val="00540BB7"/>
    <w:rsid w:val="005410AB"/>
    <w:rsid w:val="005423AE"/>
    <w:rsid w:val="005506D4"/>
    <w:rsid w:val="00551699"/>
    <w:rsid w:val="00551A5F"/>
    <w:rsid w:val="005527E3"/>
    <w:rsid w:val="00553A2D"/>
    <w:rsid w:val="00553D2F"/>
    <w:rsid w:val="005549B4"/>
    <w:rsid w:val="005636A8"/>
    <w:rsid w:val="00565691"/>
    <w:rsid w:val="00566FC0"/>
    <w:rsid w:val="00567919"/>
    <w:rsid w:val="0057148A"/>
    <w:rsid w:val="00571BB6"/>
    <w:rsid w:val="00573971"/>
    <w:rsid w:val="00575BA7"/>
    <w:rsid w:val="005768CB"/>
    <w:rsid w:val="00582256"/>
    <w:rsid w:val="00582AA7"/>
    <w:rsid w:val="0058477C"/>
    <w:rsid w:val="00585DE5"/>
    <w:rsid w:val="005875F3"/>
    <w:rsid w:val="00591F9E"/>
    <w:rsid w:val="00594BA3"/>
    <w:rsid w:val="00595CB9"/>
    <w:rsid w:val="005970E3"/>
    <w:rsid w:val="00597DA8"/>
    <w:rsid w:val="005A681F"/>
    <w:rsid w:val="005B4F4B"/>
    <w:rsid w:val="005B56F9"/>
    <w:rsid w:val="005B5C09"/>
    <w:rsid w:val="005B7C26"/>
    <w:rsid w:val="005C070A"/>
    <w:rsid w:val="005C2B58"/>
    <w:rsid w:val="005C40AB"/>
    <w:rsid w:val="005C498B"/>
    <w:rsid w:val="005C569C"/>
    <w:rsid w:val="005C7CBF"/>
    <w:rsid w:val="005D4005"/>
    <w:rsid w:val="005D40D1"/>
    <w:rsid w:val="005D5C1A"/>
    <w:rsid w:val="005D6BD6"/>
    <w:rsid w:val="005E03FA"/>
    <w:rsid w:val="005E2101"/>
    <w:rsid w:val="005E34F0"/>
    <w:rsid w:val="005E40AB"/>
    <w:rsid w:val="005E4CD9"/>
    <w:rsid w:val="005F0395"/>
    <w:rsid w:val="005F05D7"/>
    <w:rsid w:val="005F12D5"/>
    <w:rsid w:val="005F3ADF"/>
    <w:rsid w:val="005F56FF"/>
    <w:rsid w:val="00604E3F"/>
    <w:rsid w:val="00605C43"/>
    <w:rsid w:val="00605D18"/>
    <w:rsid w:val="006066FB"/>
    <w:rsid w:val="00607FD8"/>
    <w:rsid w:val="00610305"/>
    <w:rsid w:val="00610419"/>
    <w:rsid w:val="00611723"/>
    <w:rsid w:val="00611DDB"/>
    <w:rsid w:val="006124E3"/>
    <w:rsid w:val="00612C7B"/>
    <w:rsid w:val="006224C1"/>
    <w:rsid w:val="006250D1"/>
    <w:rsid w:val="006269B7"/>
    <w:rsid w:val="00633DC7"/>
    <w:rsid w:val="00636112"/>
    <w:rsid w:val="00636E1D"/>
    <w:rsid w:val="006379F0"/>
    <w:rsid w:val="00637DB1"/>
    <w:rsid w:val="00637EBA"/>
    <w:rsid w:val="00645BD2"/>
    <w:rsid w:val="006469F4"/>
    <w:rsid w:val="00656ACB"/>
    <w:rsid w:val="00662B9C"/>
    <w:rsid w:val="00662C54"/>
    <w:rsid w:val="00663B0A"/>
    <w:rsid w:val="006641F8"/>
    <w:rsid w:val="00665925"/>
    <w:rsid w:val="00670254"/>
    <w:rsid w:val="0067028E"/>
    <w:rsid w:val="00670B56"/>
    <w:rsid w:val="00671D4C"/>
    <w:rsid w:val="006733CB"/>
    <w:rsid w:val="00674D7F"/>
    <w:rsid w:val="006755FC"/>
    <w:rsid w:val="00683926"/>
    <w:rsid w:val="00683B02"/>
    <w:rsid w:val="00686902"/>
    <w:rsid w:val="00692097"/>
    <w:rsid w:val="00695340"/>
    <w:rsid w:val="00696E7D"/>
    <w:rsid w:val="006973AC"/>
    <w:rsid w:val="006A2EFD"/>
    <w:rsid w:val="006A38EC"/>
    <w:rsid w:val="006A4317"/>
    <w:rsid w:val="006A4A1D"/>
    <w:rsid w:val="006A5845"/>
    <w:rsid w:val="006A71AD"/>
    <w:rsid w:val="006B26BF"/>
    <w:rsid w:val="006B2788"/>
    <w:rsid w:val="006B286A"/>
    <w:rsid w:val="006B30EB"/>
    <w:rsid w:val="006B491C"/>
    <w:rsid w:val="006B5193"/>
    <w:rsid w:val="006C186D"/>
    <w:rsid w:val="006C1C41"/>
    <w:rsid w:val="006C4821"/>
    <w:rsid w:val="006D5E19"/>
    <w:rsid w:val="006D78D2"/>
    <w:rsid w:val="006F1F42"/>
    <w:rsid w:val="006F292F"/>
    <w:rsid w:val="006F2A13"/>
    <w:rsid w:val="006F445D"/>
    <w:rsid w:val="0070038F"/>
    <w:rsid w:val="007036AB"/>
    <w:rsid w:val="00703E4E"/>
    <w:rsid w:val="007042CC"/>
    <w:rsid w:val="007071C6"/>
    <w:rsid w:val="00711E1C"/>
    <w:rsid w:val="00713F6E"/>
    <w:rsid w:val="00717E68"/>
    <w:rsid w:val="00721FBA"/>
    <w:rsid w:val="00722733"/>
    <w:rsid w:val="00724F1F"/>
    <w:rsid w:val="007250A7"/>
    <w:rsid w:val="0072636B"/>
    <w:rsid w:val="00730012"/>
    <w:rsid w:val="00730352"/>
    <w:rsid w:val="007304AC"/>
    <w:rsid w:val="0074065A"/>
    <w:rsid w:val="007409DB"/>
    <w:rsid w:val="00742839"/>
    <w:rsid w:val="0074383B"/>
    <w:rsid w:val="00744A8D"/>
    <w:rsid w:val="00744AD5"/>
    <w:rsid w:val="007507C3"/>
    <w:rsid w:val="007510FE"/>
    <w:rsid w:val="00752AC6"/>
    <w:rsid w:val="00754E0E"/>
    <w:rsid w:val="00755505"/>
    <w:rsid w:val="007572ED"/>
    <w:rsid w:val="00760A58"/>
    <w:rsid w:val="0076316D"/>
    <w:rsid w:val="00764D59"/>
    <w:rsid w:val="007668EC"/>
    <w:rsid w:val="0076781B"/>
    <w:rsid w:val="007704C7"/>
    <w:rsid w:val="00772993"/>
    <w:rsid w:val="00772C54"/>
    <w:rsid w:val="00775496"/>
    <w:rsid w:val="00780580"/>
    <w:rsid w:val="007815FB"/>
    <w:rsid w:val="00781D80"/>
    <w:rsid w:val="007836BA"/>
    <w:rsid w:val="00783CCC"/>
    <w:rsid w:val="0078590E"/>
    <w:rsid w:val="00785A6C"/>
    <w:rsid w:val="007861AC"/>
    <w:rsid w:val="00792C67"/>
    <w:rsid w:val="007937BA"/>
    <w:rsid w:val="00796869"/>
    <w:rsid w:val="007A0054"/>
    <w:rsid w:val="007A2170"/>
    <w:rsid w:val="007A30B9"/>
    <w:rsid w:val="007A44A6"/>
    <w:rsid w:val="007A5353"/>
    <w:rsid w:val="007B0C7C"/>
    <w:rsid w:val="007B3685"/>
    <w:rsid w:val="007B3D63"/>
    <w:rsid w:val="007B6937"/>
    <w:rsid w:val="007C05FC"/>
    <w:rsid w:val="007C258C"/>
    <w:rsid w:val="007C4C8E"/>
    <w:rsid w:val="007C55D0"/>
    <w:rsid w:val="007C7B33"/>
    <w:rsid w:val="007D05EB"/>
    <w:rsid w:val="007D1453"/>
    <w:rsid w:val="007D15E5"/>
    <w:rsid w:val="007E428E"/>
    <w:rsid w:val="007E4ACA"/>
    <w:rsid w:val="007E5DE3"/>
    <w:rsid w:val="007E5E4C"/>
    <w:rsid w:val="007E7CB3"/>
    <w:rsid w:val="008019A5"/>
    <w:rsid w:val="00801A10"/>
    <w:rsid w:val="00802A1F"/>
    <w:rsid w:val="0080362B"/>
    <w:rsid w:val="00804343"/>
    <w:rsid w:val="00805065"/>
    <w:rsid w:val="00810EDF"/>
    <w:rsid w:val="00810F1F"/>
    <w:rsid w:val="008122E2"/>
    <w:rsid w:val="00813BAC"/>
    <w:rsid w:val="00813CD4"/>
    <w:rsid w:val="00821472"/>
    <w:rsid w:val="00821B9D"/>
    <w:rsid w:val="00824CF0"/>
    <w:rsid w:val="00826200"/>
    <w:rsid w:val="00831BD5"/>
    <w:rsid w:val="00831EEF"/>
    <w:rsid w:val="00834E5B"/>
    <w:rsid w:val="008354B2"/>
    <w:rsid w:val="008404CE"/>
    <w:rsid w:val="0084101F"/>
    <w:rsid w:val="0084468C"/>
    <w:rsid w:val="00847035"/>
    <w:rsid w:val="00847D5B"/>
    <w:rsid w:val="008512EB"/>
    <w:rsid w:val="008552A0"/>
    <w:rsid w:val="00860525"/>
    <w:rsid w:val="00860DEF"/>
    <w:rsid w:val="00861E9F"/>
    <w:rsid w:val="00862630"/>
    <w:rsid w:val="00864722"/>
    <w:rsid w:val="00864B9E"/>
    <w:rsid w:val="00865492"/>
    <w:rsid w:val="00867CB4"/>
    <w:rsid w:val="008708AB"/>
    <w:rsid w:val="0087101F"/>
    <w:rsid w:val="00871C44"/>
    <w:rsid w:val="00872947"/>
    <w:rsid w:val="00873312"/>
    <w:rsid w:val="00873D40"/>
    <w:rsid w:val="00874A94"/>
    <w:rsid w:val="00874ED5"/>
    <w:rsid w:val="0087603A"/>
    <w:rsid w:val="008817AA"/>
    <w:rsid w:val="008818C1"/>
    <w:rsid w:val="00883CA5"/>
    <w:rsid w:val="00883CD0"/>
    <w:rsid w:val="00883E4D"/>
    <w:rsid w:val="0088558E"/>
    <w:rsid w:val="0089107D"/>
    <w:rsid w:val="00892B01"/>
    <w:rsid w:val="00894200"/>
    <w:rsid w:val="008957D2"/>
    <w:rsid w:val="00897123"/>
    <w:rsid w:val="008A12E8"/>
    <w:rsid w:val="008A1F18"/>
    <w:rsid w:val="008A2942"/>
    <w:rsid w:val="008A4E54"/>
    <w:rsid w:val="008A6EFA"/>
    <w:rsid w:val="008B0B45"/>
    <w:rsid w:val="008B2DCC"/>
    <w:rsid w:val="008B3F8D"/>
    <w:rsid w:val="008B3F92"/>
    <w:rsid w:val="008B7151"/>
    <w:rsid w:val="008B7AB3"/>
    <w:rsid w:val="008C258E"/>
    <w:rsid w:val="008C2FEF"/>
    <w:rsid w:val="008C4D41"/>
    <w:rsid w:val="008C5B82"/>
    <w:rsid w:val="008C64DC"/>
    <w:rsid w:val="008D0886"/>
    <w:rsid w:val="008D43C0"/>
    <w:rsid w:val="008D6082"/>
    <w:rsid w:val="008D626B"/>
    <w:rsid w:val="008E0126"/>
    <w:rsid w:val="008E0444"/>
    <w:rsid w:val="008E4A38"/>
    <w:rsid w:val="008E4A6D"/>
    <w:rsid w:val="008E5294"/>
    <w:rsid w:val="008E5927"/>
    <w:rsid w:val="008E63DC"/>
    <w:rsid w:val="008F108C"/>
    <w:rsid w:val="008F138D"/>
    <w:rsid w:val="008F3908"/>
    <w:rsid w:val="008F3964"/>
    <w:rsid w:val="008F4C09"/>
    <w:rsid w:val="009014B6"/>
    <w:rsid w:val="009058AF"/>
    <w:rsid w:val="00910418"/>
    <w:rsid w:val="00912882"/>
    <w:rsid w:val="00912895"/>
    <w:rsid w:val="0091548C"/>
    <w:rsid w:val="00916BDE"/>
    <w:rsid w:val="009210DE"/>
    <w:rsid w:val="0092128B"/>
    <w:rsid w:val="00921EDE"/>
    <w:rsid w:val="00922663"/>
    <w:rsid w:val="009245EB"/>
    <w:rsid w:val="009246E8"/>
    <w:rsid w:val="00924B10"/>
    <w:rsid w:val="009250E4"/>
    <w:rsid w:val="00930656"/>
    <w:rsid w:val="0093262C"/>
    <w:rsid w:val="00936C93"/>
    <w:rsid w:val="00936DE2"/>
    <w:rsid w:val="00941A02"/>
    <w:rsid w:val="00943B87"/>
    <w:rsid w:val="00946A03"/>
    <w:rsid w:val="00950A3A"/>
    <w:rsid w:val="00952C61"/>
    <w:rsid w:val="0096160F"/>
    <w:rsid w:val="00961A6A"/>
    <w:rsid w:val="009645A4"/>
    <w:rsid w:val="00965B80"/>
    <w:rsid w:val="00971D4E"/>
    <w:rsid w:val="0097323B"/>
    <w:rsid w:val="0097396D"/>
    <w:rsid w:val="00975580"/>
    <w:rsid w:val="009768F7"/>
    <w:rsid w:val="00982472"/>
    <w:rsid w:val="00987924"/>
    <w:rsid w:val="00990C58"/>
    <w:rsid w:val="00991524"/>
    <w:rsid w:val="009929ED"/>
    <w:rsid w:val="00994F53"/>
    <w:rsid w:val="00995112"/>
    <w:rsid w:val="00995CD7"/>
    <w:rsid w:val="009A0A26"/>
    <w:rsid w:val="009A2FC7"/>
    <w:rsid w:val="009A56CF"/>
    <w:rsid w:val="009B2CEA"/>
    <w:rsid w:val="009B57B1"/>
    <w:rsid w:val="009B7D6B"/>
    <w:rsid w:val="009C0C33"/>
    <w:rsid w:val="009C11C7"/>
    <w:rsid w:val="009C12C9"/>
    <w:rsid w:val="009C1CE7"/>
    <w:rsid w:val="009C1FDB"/>
    <w:rsid w:val="009C2E35"/>
    <w:rsid w:val="009D55F7"/>
    <w:rsid w:val="009D6BE1"/>
    <w:rsid w:val="009D7768"/>
    <w:rsid w:val="009E7462"/>
    <w:rsid w:val="009E76BE"/>
    <w:rsid w:val="009E79BF"/>
    <w:rsid w:val="009F228F"/>
    <w:rsid w:val="009F2B84"/>
    <w:rsid w:val="009F3FE6"/>
    <w:rsid w:val="009F53AF"/>
    <w:rsid w:val="009F598D"/>
    <w:rsid w:val="009F655A"/>
    <w:rsid w:val="00A00E34"/>
    <w:rsid w:val="00A00FFA"/>
    <w:rsid w:val="00A01D73"/>
    <w:rsid w:val="00A0216B"/>
    <w:rsid w:val="00A02F8A"/>
    <w:rsid w:val="00A04ABB"/>
    <w:rsid w:val="00A07B28"/>
    <w:rsid w:val="00A10257"/>
    <w:rsid w:val="00A11497"/>
    <w:rsid w:val="00A14332"/>
    <w:rsid w:val="00A2787D"/>
    <w:rsid w:val="00A27D88"/>
    <w:rsid w:val="00A3016D"/>
    <w:rsid w:val="00A304D0"/>
    <w:rsid w:val="00A31305"/>
    <w:rsid w:val="00A3276E"/>
    <w:rsid w:val="00A34CF0"/>
    <w:rsid w:val="00A37181"/>
    <w:rsid w:val="00A37A35"/>
    <w:rsid w:val="00A4000F"/>
    <w:rsid w:val="00A41F33"/>
    <w:rsid w:val="00A4373F"/>
    <w:rsid w:val="00A455C2"/>
    <w:rsid w:val="00A4607D"/>
    <w:rsid w:val="00A47C95"/>
    <w:rsid w:val="00A47E48"/>
    <w:rsid w:val="00A537E7"/>
    <w:rsid w:val="00A53EC9"/>
    <w:rsid w:val="00A55627"/>
    <w:rsid w:val="00A55B69"/>
    <w:rsid w:val="00A561A3"/>
    <w:rsid w:val="00A6078E"/>
    <w:rsid w:val="00A6183A"/>
    <w:rsid w:val="00A651D6"/>
    <w:rsid w:val="00A659A4"/>
    <w:rsid w:val="00A774CB"/>
    <w:rsid w:val="00A804BB"/>
    <w:rsid w:val="00A813C4"/>
    <w:rsid w:val="00A82CA6"/>
    <w:rsid w:val="00A844D3"/>
    <w:rsid w:val="00A86D8A"/>
    <w:rsid w:val="00A8796D"/>
    <w:rsid w:val="00A87D9F"/>
    <w:rsid w:val="00A92358"/>
    <w:rsid w:val="00A92440"/>
    <w:rsid w:val="00A93289"/>
    <w:rsid w:val="00A94C96"/>
    <w:rsid w:val="00A9621C"/>
    <w:rsid w:val="00AA3437"/>
    <w:rsid w:val="00AA4857"/>
    <w:rsid w:val="00AA79EC"/>
    <w:rsid w:val="00AB104D"/>
    <w:rsid w:val="00AB3336"/>
    <w:rsid w:val="00AB396A"/>
    <w:rsid w:val="00AB464A"/>
    <w:rsid w:val="00AB5C82"/>
    <w:rsid w:val="00AB5E53"/>
    <w:rsid w:val="00AB6F2C"/>
    <w:rsid w:val="00AC1D58"/>
    <w:rsid w:val="00AD07AB"/>
    <w:rsid w:val="00AD0988"/>
    <w:rsid w:val="00AD0C73"/>
    <w:rsid w:val="00AD0E70"/>
    <w:rsid w:val="00AD55B9"/>
    <w:rsid w:val="00AE1586"/>
    <w:rsid w:val="00AE1A2D"/>
    <w:rsid w:val="00AE39E3"/>
    <w:rsid w:val="00AE52F5"/>
    <w:rsid w:val="00AE5347"/>
    <w:rsid w:val="00AE5542"/>
    <w:rsid w:val="00AE55F6"/>
    <w:rsid w:val="00AE56DB"/>
    <w:rsid w:val="00AE59F8"/>
    <w:rsid w:val="00AE6929"/>
    <w:rsid w:val="00AE6F37"/>
    <w:rsid w:val="00AF2077"/>
    <w:rsid w:val="00AF58B2"/>
    <w:rsid w:val="00AF6764"/>
    <w:rsid w:val="00B04A92"/>
    <w:rsid w:val="00B04CA9"/>
    <w:rsid w:val="00B06033"/>
    <w:rsid w:val="00B06884"/>
    <w:rsid w:val="00B06A3B"/>
    <w:rsid w:val="00B07D99"/>
    <w:rsid w:val="00B13C87"/>
    <w:rsid w:val="00B14230"/>
    <w:rsid w:val="00B166C6"/>
    <w:rsid w:val="00B16ACA"/>
    <w:rsid w:val="00B16CDE"/>
    <w:rsid w:val="00B1710D"/>
    <w:rsid w:val="00B17D1D"/>
    <w:rsid w:val="00B2057D"/>
    <w:rsid w:val="00B24F23"/>
    <w:rsid w:val="00B24FB5"/>
    <w:rsid w:val="00B30E65"/>
    <w:rsid w:val="00B32405"/>
    <w:rsid w:val="00B32510"/>
    <w:rsid w:val="00B33E91"/>
    <w:rsid w:val="00B36454"/>
    <w:rsid w:val="00B36A68"/>
    <w:rsid w:val="00B36D5E"/>
    <w:rsid w:val="00B40176"/>
    <w:rsid w:val="00B45069"/>
    <w:rsid w:val="00B4521D"/>
    <w:rsid w:val="00B45B66"/>
    <w:rsid w:val="00B470C6"/>
    <w:rsid w:val="00B526A8"/>
    <w:rsid w:val="00B53EFA"/>
    <w:rsid w:val="00B55FAB"/>
    <w:rsid w:val="00B5696C"/>
    <w:rsid w:val="00B56CE0"/>
    <w:rsid w:val="00B61349"/>
    <w:rsid w:val="00B62478"/>
    <w:rsid w:val="00B65835"/>
    <w:rsid w:val="00B6734E"/>
    <w:rsid w:val="00B67852"/>
    <w:rsid w:val="00B71894"/>
    <w:rsid w:val="00B751AC"/>
    <w:rsid w:val="00B75C63"/>
    <w:rsid w:val="00B769AC"/>
    <w:rsid w:val="00B77649"/>
    <w:rsid w:val="00B778A1"/>
    <w:rsid w:val="00B77F38"/>
    <w:rsid w:val="00B83D9D"/>
    <w:rsid w:val="00B84529"/>
    <w:rsid w:val="00B85D67"/>
    <w:rsid w:val="00B86634"/>
    <w:rsid w:val="00B86C82"/>
    <w:rsid w:val="00B87B87"/>
    <w:rsid w:val="00B87E75"/>
    <w:rsid w:val="00B903B8"/>
    <w:rsid w:val="00B91B73"/>
    <w:rsid w:val="00B930A4"/>
    <w:rsid w:val="00B93D6D"/>
    <w:rsid w:val="00B94687"/>
    <w:rsid w:val="00B9508E"/>
    <w:rsid w:val="00B96F7F"/>
    <w:rsid w:val="00BA0B75"/>
    <w:rsid w:val="00BA7B95"/>
    <w:rsid w:val="00BB2111"/>
    <w:rsid w:val="00BB2729"/>
    <w:rsid w:val="00BB2D20"/>
    <w:rsid w:val="00BB2D63"/>
    <w:rsid w:val="00BB4F06"/>
    <w:rsid w:val="00BC593F"/>
    <w:rsid w:val="00BC689F"/>
    <w:rsid w:val="00BC7FD2"/>
    <w:rsid w:val="00BD01BB"/>
    <w:rsid w:val="00BD1B8E"/>
    <w:rsid w:val="00BD1CD8"/>
    <w:rsid w:val="00BD62DE"/>
    <w:rsid w:val="00BE384C"/>
    <w:rsid w:val="00BE6199"/>
    <w:rsid w:val="00BE626F"/>
    <w:rsid w:val="00BE6527"/>
    <w:rsid w:val="00BE6DB8"/>
    <w:rsid w:val="00BE7BB4"/>
    <w:rsid w:val="00BF42A1"/>
    <w:rsid w:val="00BF5E3F"/>
    <w:rsid w:val="00C00E91"/>
    <w:rsid w:val="00C01AEA"/>
    <w:rsid w:val="00C03AE7"/>
    <w:rsid w:val="00C04DE0"/>
    <w:rsid w:val="00C055D9"/>
    <w:rsid w:val="00C05D9D"/>
    <w:rsid w:val="00C106B9"/>
    <w:rsid w:val="00C12D50"/>
    <w:rsid w:val="00C13158"/>
    <w:rsid w:val="00C2248E"/>
    <w:rsid w:val="00C261A6"/>
    <w:rsid w:val="00C346C5"/>
    <w:rsid w:val="00C35592"/>
    <w:rsid w:val="00C356AF"/>
    <w:rsid w:val="00C3575F"/>
    <w:rsid w:val="00C35883"/>
    <w:rsid w:val="00C41927"/>
    <w:rsid w:val="00C439D6"/>
    <w:rsid w:val="00C43FD9"/>
    <w:rsid w:val="00C44EB2"/>
    <w:rsid w:val="00C454D5"/>
    <w:rsid w:val="00C459CF"/>
    <w:rsid w:val="00C45D4A"/>
    <w:rsid w:val="00C46E50"/>
    <w:rsid w:val="00C47A5A"/>
    <w:rsid w:val="00C47E8F"/>
    <w:rsid w:val="00C50AB3"/>
    <w:rsid w:val="00C519C1"/>
    <w:rsid w:val="00C60555"/>
    <w:rsid w:val="00C60915"/>
    <w:rsid w:val="00C62913"/>
    <w:rsid w:val="00C62E9A"/>
    <w:rsid w:val="00C63EC1"/>
    <w:rsid w:val="00C65DE9"/>
    <w:rsid w:val="00C66D5F"/>
    <w:rsid w:val="00C67B7C"/>
    <w:rsid w:val="00C732A9"/>
    <w:rsid w:val="00C746C8"/>
    <w:rsid w:val="00C74B24"/>
    <w:rsid w:val="00C763B3"/>
    <w:rsid w:val="00C76E4C"/>
    <w:rsid w:val="00C87BD5"/>
    <w:rsid w:val="00C91B21"/>
    <w:rsid w:val="00C964B8"/>
    <w:rsid w:val="00CA097E"/>
    <w:rsid w:val="00CA4671"/>
    <w:rsid w:val="00CA5B8F"/>
    <w:rsid w:val="00CA681A"/>
    <w:rsid w:val="00CA78F7"/>
    <w:rsid w:val="00CA7EBA"/>
    <w:rsid w:val="00CB06AC"/>
    <w:rsid w:val="00CC4E5F"/>
    <w:rsid w:val="00CC50AA"/>
    <w:rsid w:val="00CC6198"/>
    <w:rsid w:val="00CD021B"/>
    <w:rsid w:val="00CD1257"/>
    <w:rsid w:val="00CD4233"/>
    <w:rsid w:val="00CD5BC4"/>
    <w:rsid w:val="00CE04D9"/>
    <w:rsid w:val="00CE2C6B"/>
    <w:rsid w:val="00CE41B4"/>
    <w:rsid w:val="00CE659B"/>
    <w:rsid w:val="00CE6659"/>
    <w:rsid w:val="00CE70FC"/>
    <w:rsid w:val="00CF1030"/>
    <w:rsid w:val="00CF2311"/>
    <w:rsid w:val="00CF3412"/>
    <w:rsid w:val="00CF4990"/>
    <w:rsid w:val="00CF5A63"/>
    <w:rsid w:val="00D007FD"/>
    <w:rsid w:val="00D010A2"/>
    <w:rsid w:val="00D0135C"/>
    <w:rsid w:val="00D01670"/>
    <w:rsid w:val="00D02E9F"/>
    <w:rsid w:val="00D03431"/>
    <w:rsid w:val="00D042BA"/>
    <w:rsid w:val="00D057CD"/>
    <w:rsid w:val="00D10CFF"/>
    <w:rsid w:val="00D1108D"/>
    <w:rsid w:val="00D13BBF"/>
    <w:rsid w:val="00D15249"/>
    <w:rsid w:val="00D152E7"/>
    <w:rsid w:val="00D1775A"/>
    <w:rsid w:val="00D212DD"/>
    <w:rsid w:val="00D21F91"/>
    <w:rsid w:val="00D2291E"/>
    <w:rsid w:val="00D23327"/>
    <w:rsid w:val="00D248E3"/>
    <w:rsid w:val="00D30519"/>
    <w:rsid w:val="00D314F1"/>
    <w:rsid w:val="00D31A73"/>
    <w:rsid w:val="00D32703"/>
    <w:rsid w:val="00D4230E"/>
    <w:rsid w:val="00D42A3E"/>
    <w:rsid w:val="00D42A90"/>
    <w:rsid w:val="00D44360"/>
    <w:rsid w:val="00D50E72"/>
    <w:rsid w:val="00D50FFD"/>
    <w:rsid w:val="00D52998"/>
    <w:rsid w:val="00D54686"/>
    <w:rsid w:val="00D549B9"/>
    <w:rsid w:val="00D557EE"/>
    <w:rsid w:val="00D56058"/>
    <w:rsid w:val="00D57F4B"/>
    <w:rsid w:val="00D6074C"/>
    <w:rsid w:val="00D63A88"/>
    <w:rsid w:val="00D656AD"/>
    <w:rsid w:val="00D7084A"/>
    <w:rsid w:val="00D73901"/>
    <w:rsid w:val="00D74683"/>
    <w:rsid w:val="00D76E91"/>
    <w:rsid w:val="00D83AAF"/>
    <w:rsid w:val="00D848B3"/>
    <w:rsid w:val="00D8716A"/>
    <w:rsid w:val="00D872D1"/>
    <w:rsid w:val="00D93B1A"/>
    <w:rsid w:val="00D94435"/>
    <w:rsid w:val="00D94CDD"/>
    <w:rsid w:val="00D95722"/>
    <w:rsid w:val="00DA0961"/>
    <w:rsid w:val="00DA0CB5"/>
    <w:rsid w:val="00DA5265"/>
    <w:rsid w:val="00DA550A"/>
    <w:rsid w:val="00DB1BC4"/>
    <w:rsid w:val="00DB3817"/>
    <w:rsid w:val="00DB4809"/>
    <w:rsid w:val="00DB5E8F"/>
    <w:rsid w:val="00DB634B"/>
    <w:rsid w:val="00DC0AD8"/>
    <w:rsid w:val="00DC1511"/>
    <w:rsid w:val="00DC3925"/>
    <w:rsid w:val="00DC4B65"/>
    <w:rsid w:val="00DC5D04"/>
    <w:rsid w:val="00DC5FBF"/>
    <w:rsid w:val="00DC6AB8"/>
    <w:rsid w:val="00DC6EE3"/>
    <w:rsid w:val="00DC7C3E"/>
    <w:rsid w:val="00DD04D3"/>
    <w:rsid w:val="00DD129E"/>
    <w:rsid w:val="00DD227B"/>
    <w:rsid w:val="00DD36F6"/>
    <w:rsid w:val="00DD71C2"/>
    <w:rsid w:val="00DE082A"/>
    <w:rsid w:val="00DE30E0"/>
    <w:rsid w:val="00DE79E9"/>
    <w:rsid w:val="00DF1288"/>
    <w:rsid w:val="00DF3102"/>
    <w:rsid w:val="00DF31CE"/>
    <w:rsid w:val="00DF71B5"/>
    <w:rsid w:val="00E00BB5"/>
    <w:rsid w:val="00E0157A"/>
    <w:rsid w:val="00E0399C"/>
    <w:rsid w:val="00E0491F"/>
    <w:rsid w:val="00E063FC"/>
    <w:rsid w:val="00E07B0F"/>
    <w:rsid w:val="00E103F9"/>
    <w:rsid w:val="00E11150"/>
    <w:rsid w:val="00E1277B"/>
    <w:rsid w:val="00E12A26"/>
    <w:rsid w:val="00E14384"/>
    <w:rsid w:val="00E14C9C"/>
    <w:rsid w:val="00E15F0F"/>
    <w:rsid w:val="00E20421"/>
    <w:rsid w:val="00E20A17"/>
    <w:rsid w:val="00E22132"/>
    <w:rsid w:val="00E22BCE"/>
    <w:rsid w:val="00E25B7D"/>
    <w:rsid w:val="00E2655F"/>
    <w:rsid w:val="00E26E33"/>
    <w:rsid w:val="00E27AC5"/>
    <w:rsid w:val="00E30F40"/>
    <w:rsid w:val="00E3173B"/>
    <w:rsid w:val="00E326FF"/>
    <w:rsid w:val="00E32E5D"/>
    <w:rsid w:val="00E361B0"/>
    <w:rsid w:val="00E4051D"/>
    <w:rsid w:val="00E41D4A"/>
    <w:rsid w:val="00E467B7"/>
    <w:rsid w:val="00E46B4F"/>
    <w:rsid w:val="00E5011C"/>
    <w:rsid w:val="00E50227"/>
    <w:rsid w:val="00E52267"/>
    <w:rsid w:val="00E62D98"/>
    <w:rsid w:val="00E62DB8"/>
    <w:rsid w:val="00E64563"/>
    <w:rsid w:val="00E647D2"/>
    <w:rsid w:val="00E67772"/>
    <w:rsid w:val="00E677EF"/>
    <w:rsid w:val="00E7429B"/>
    <w:rsid w:val="00E7507B"/>
    <w:rsid w:val="00E77739"/>
    <w:rsid w:val="00E8028D"/>
    <w:rsid w:val="00E81ACB"/>
    <w:rsid w:val="00E859DF"/>
    <w:rsid w:val="00E86753"/>
    <w:rsid w:val="00E86F20"/>
    <w:rsid w:val="00E87041"/>
    <w:rsid w:val="00E87B11"/>
    <w:rsid w:val="00E91434"/>
    <w:rsid w:val="00E95201"/>
    <w:rsid w:val="00E9540A"/>
    <w:rsid w:val="00E97C2F"/>
    <w:rsid w:val="00EA1807"/>
    <w:rsid w:val="00EA4947"/>
    <w:rsid w:val="00EA5762"/>
    <w:rsid w:val="00EC0C41"/>
    <w:rsid w:val="00EC1594"/>
    <w:rsid w:val="00ED0519"/>
    <w:rsid w:val="00ED2AF7"/>
    <w:rsid w:val="00ED528D"/>
    <w:rsid w:val="00EE3755"/>
    <w:rsid w:val="00EE456B"/>
    <w:rsid w:val="00EE53A0"/>
    <w:rsid w:val="00EE5E3A"/>
    <w:rsid w:val="00EF1680"/>
    <w:rsid w:val="00EF482B"/>
    <w:rsid w:val="00F00C37"/>
    <w:rsid w:val="00F00FD8"/>
    <w:rsid w:val="00F034AC"/>
    <w:rsid w:val="00F038EA"/>
    <w:rsid w:val="00F04125"/>
    <w:rsid w:val="00F045E9"/>
    <w:rsid w:val="00F10ADA"/>
    <w:rsid w:val="00F14419"/>
    <w:rsid w:val="00F14592"/>
    <w:rsid w:val="00F14F6D"/>
    <w:rsid w:val="00F160D2"/>
    <w:rsid w:val="00F20607"/>
    <w:rsid w:val="00F21798"/>
    <w:rsid w:val="00F21CCB"/>
    <w:rsid w:val="00F23638"/>
    <w:rsid w:val="00F23FB7"/>
    <w:rsid w:val="00F258BF"/>
    <w:rsid w:val="00F2633E"/>
    <w:rsid w:val="00F3580F"/>
    <w:rsid w:val="00F368B4"/>
    <w:rsid w:val="00F407C5"/>
    <w:rsid w:val="00F40B8C"/>
    <w:rsid w:val="00F411AD"/>
    <w:rsid w:val="00F41C1C"/>
    <w:rsid w:val="00F434D1"/>
    <w:rsid w:val="00F4352E"/>
    <w:rsid w:val="00F4538A"/>
    <w:rsid w:val="00F46B9E"/>
    <w:rsid w:val="00F4748D"/>
    <w:rsid w:val="00F50115"/>
    <w:rsid w:val="00F54BA5"/>
    <w:rsid w:val="00F5567A"/>
    <w:rsid w:val="00F605CC"/>
    <w:rsid w:val="00F6101E"/>
    <w:rsid w:val="00F612B3"/>
    <w:rsid w:val="00F617C8"/>
    <w:rsid w:val="00F6376B"/>
    <w:rsid w:val="00F63E17"/>
    <w:rsid w:val="00F669C8"/>
    <w:rsid w:val="00F66F0E"/>
    <w:rsid w:val="00F6721C"/>
    <w:rsid w:val="00F7064A"/>
    <w:rsid w:val="00F71812"/>
    <w:rsid w:val="00F71E45"/>
    <w:rsid w:val="00F72BF7"/>
    <w:rsid w:val="00F747AD"/>
    <w:rsid w:val="00F7539E"/>
    <w:rsid w:val="00F76E9E"/>
    <w:rsid w:val="00F778D6"/>
    <w:rsid w:val="00F815E0"/>
    <w:rsid w:val="00F82725"/>
    <w:rsid w:val="00F832FE"/>
    <w:rsid w:val="00F942CA"/>
    <w:rsid w:val="00F9452C"/>
    <w:rsid w:val="00F96B88"/>
    <w:rsid w:val="00FA055C"/>
    <w:rsid w:val="00FA0DC0"/>
    <w:rsid w:val="00FA1349"/>
    <w:rsid w:val="00FA1F28"/>
    <w:rsid w:val="00FA2305"/>
    <w:rsid w:val="00FA371F"/>
    <w:rsid w:val="00FB45B8"/>
    <w:rsid w:val="00FB7206"/>
    <w:rsid w:val="00FB7AAF"/>
    <w:rsid w:val="00FC1D72"/>
    <w:rsid w:val="00FC5496"/>
    <w:rsid w:val="00FC5912"/>
    <w:rsid w:val="00FC7712"/>
    <w:rsid w:val="00FE0C27"/>
    <w:rsid w:val="00FE1837"/>
    <w:rsid w:val="00FE23A0"/>
    <w:rsid w:val="00FE361D"/>
    <w:rsid w:val="00FE4269"/>
    <w:rsid w:val="00FE5577"/>
    <w:rsid w:val="00FF188A"/>
    <w:rsid w:val="00FF191E"/>
    <w:rsid w:val="00FF34CA"/>
    <w:rsid w:val="00FF6080"/>
    <w:rsid w:val="00FF6F7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C1580C"/>
  <w15:docId w15:val="{1C6D434F-BE16-4078-8311-2F8DBF0B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F71B5"/>
    <w:pPr>
      <w:spacing w:before="80" w:after="0" w:line="200" w:lineRule="exact"/>
      <w:jc w:val="left"/>
    </w:pPr>
    <w:rPr>
      <w:sz w:val="18"/>
      <w:szCs w:val="18"/>
    </w:rPr>
  </w:style>
  <w:style w:type="character" w:customStyle="1" w:styleId="FootnoteTextChar">
    <w:name w:val="Footnote Text Char"/>
    <w:basedOn w:val="DefaultParagraphFont"/>
    <w:link w:val="FootnoteText"/>
    <w:rsid w:val="00DF71B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paragraph" w:styleId="EndnoteText">
    <w:name w:val="endnote text"/>
    <w:basedOn w:val="Normal"/>
    <w:link w:val="EndnoteTextChar"/>
    <w:uiPriority w:val="99"/>
    <w:semiHidden/>
    <w:rsid w:val="004A6E15"/>
    <w:rPr>
      <w:sz w:val="20"/>
      <w:szCs w:val="20"/>
    </w:rPr>
  </w:style>
  <w:style w:type="character" w:customStyle="1" w:styleId="EndnoteTextChar">
    <w:name w:val="Endnote Text Char"/>
    <w:basedOn w:val="DefaultParagraphFont"/>
    <w:link w:val="EndnoteText"/>
    <w:uiPriority w:val="99"/>
    <w:semiHidden/>
    <w:rsid w:val="004A6E15"/>
    <w:rPr>
      <w:sz w:val="20"/>
      <w:szCs w:val="20"/>
      <w:lang w:val="en-GB"/>
    </w:rPr>
  </w:style>
  <w:style w:type="character" w:styleId="EndnoteReference">
    <w:name w:val="endnote reference"/>
    <w:basedOn w:val="DefaultParagraphFont"/>
    <w:uiPriority w:val="99"/>
    <w:semiHidden/>
    <w:rsid w:val="004A6E15"/>
    <w:rPr>
      <w:vertAlign w:val="superscript"/>
    </w:rPr>
  </w:style>
  <w:style w:type="paragraph" w:styleId="PlainText">
    <w:name w:val="Plain Text"/>
    <w:basedOn w:val="Normal"/>
    <w:link w:val="PlainTextChar"/>
    <w:uiPriority w:val="99"/>
    <w:unhideWhenUsed/>
    <w:rsid w:val="00286AD6"/>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286AD6"/>
    <w:rPr>
      <w:rFonts w:ascii="Calibri" w:eastAsia="Times New Roman" w:hAnsi="Calibri" w:cs="Times New Roman"/>
      <w:sz w:val="22"/>
      <w:szCs w:val="21"/>
      <w:lang w:val="en-GB" w:eastAsia="en-GB"/>
    </w:rPr>
  </w:style>
  <w:style w:type="character" w:customStyle="1" w:styleId="numberedparagraphChar">
    <w:name w:val="numbered paragraph Char"/>
    <w:basedOn w:val="DefaultParagraphFont"/>
    <w:link w:val="numberedparagraph"/>
    <w:rsid w:val="00F41C1C"/>
    <w:rPr>
      <w:sz w:val="22"/>
    </w:rPr>
  </w:style>
  <w:style w:type="paragraph" w:customStyle="1" w:styleId="Default">
    <w:name w:val="Default"/>
    <w:rsid w:val="00B86C82"/>
    <w:pPr>
      <w:autoSpaceDE w:val="0"/>
      <w:autoSpaceDN w:val="0"/>
      <w:adjustRightInd w:val="0"/>
    </w:pPr>
    <w:rPr>
      <w:rFonts w:ascii="Arial" w:hAnsi="Arial" w:cs="Arial"/>
      <w:color w:val="000000"/>
      <w:lang w:val="en-GB"/>
    </w:rPr>
  </w:style>
  <w:style w:type="paragraph" w:styleId="Revision">
    <w:name w:val="Revision"/>
    <w:hidden/>
    <w:uiPriority w:val="99"/>
    <w:semiHidden/>
    <w:rsid w:val="009A0A26"/>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872145">
      <w:bodyDiv w:val="1"/>
      <w:marLeft w:val="0"/>
      <w:marRight w:val="0"/>
      <w:marTop w:val="0"/>
      <w:marBottom w:val="0"/>
      <w:divBdr>
        <w:top w:val="none" w:sz="0" w:space="0" w:color="auto"/>
        <w:left w:val="none" w:sz="0" w:space="0" w:color="auto"/>
        <w:bottom w:val="none" w:sz="0" w:space="0" w:color="auto"/>
        <w:right w:val="none" w:sz="0" w:space="0" w:color="auto"/>
      </w:divBdr>
    </w:div>
    <w:div w:id="415130940">
      <w:bodyDiv w:val="1"/>
      <w:marLeft w:val="0"/>
      <w:marRight w:val="0"/>
      <w:marTop w:val="0"/>
      <w:marBottom w:val="0"/>
      <w:divBdr>
        <w:top w:val="none" w:sz="0" w:space="0" w:color="auto"/>
        <w:left w:val="none" w:sz="0" w:space="0" w:color="auto"/>
        <w:bottom w:val="none" w:sz="0" w:space="0" w:color="auto"/>
        <w:right w:val="none" w:sz="0" w:space="0" w:color="auto"/>
      </w:divBdr>
    </w:div>
    <w:div w:id="804808566">
      <w:bodyDiv w:val="1"/>
      <w:marLeft w:val="0"/>
      <w:marRight w:val="0"/>
      <w:marTop w:val="0"/>
      <w:marBottom w:val="0"/>
      <w:divBdr>
        <w:top w:val="none" w:sz="0" w:space="0" w:color="auto"/>
        <w:left w:val="none" w:sz="0" w:space="0" w:color="auto"/>
        <w:bottom w:val="none" w:sz="0" w:space="0" w:color="auto"/>
        <w:right w:val="none" w:sz="0" w:space="0" w:color="auto"/>
      </w:divBdr>
    </w:div>
    <w:div w:id="108429807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53761776">
      <w:bodyDiv w:val="1"/>
      <w:marLeft w:val="0"/>
      <w:marRight w:val="0"/>
      <w:marTop w:val="0"/>
      <w:marBottom w:val="0"/>
      <w:divBdr>
        <w:top w:val="none" w:sz="0" w:space="0" w:color="auto"/>
        <w:left w:val="none" w:sz="0" w:space="0" w:color="auto"/>
        <w:bottom w:val="none" w:sz="0" w:space="0" w:color="auto"/>
        <w:right w:val="none" w:sz="0" w:space="0" w:color="auto"/>
      </w:divBdr>
    </w:div>
    <w:div w:id="1542328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37F47-DACA-4C54-B11B-6ED67649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Clara Garcia</cp:lastModifiedBy>
  <cp:revision>24</cp:revision>
  <cp:lastPrinted>2018-03-19T18:51:00Z</cp:lastPrinted>
  <dcterms:created xsi:type="dcterms:W3CDTF">2018-03-19T18:58:00Z</dcterms:created>
  <dcterms:modified xsi:type="dcterms:W3CDTF">2018-10-19T11:00:00Z</dcterms:modified>
</cp:coreProperties>
</file>